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A2928" w14:textId="77777777" w:rsidR="00E3034C" w:rsidRDefault="00E3034C" w:rsidP="00C14591">
      <w:pPr>
        <w:spacing w:line="276" w:lineRule="auto"/>
        <w:jc w:val="center"/>
        <w:rPr>
          <w:b/>
          <w:bCs/>
          <w:sz w:val="24"/>
          <w:szCs w:val="24"/>
          <w:u w:val="single"/>
        </w:rPr>
      </w:pPr>
    </w:p>
    <w:p w14:paraId="1FCFC795" w14:textId="00691E40" w:rsidR="00C14591" w:rsidRDefault="00C14591" w:rsidP="00C14591">
      <w:pPr>
        <w:spacing w:line="276" w:lineRule="auto"/>
        <w:jc w:val="center"/>
        <w:rPr>
          <w:b/>
          <w:bCs/>
          <w:sz w:val="24"/>
          <w:szCs w:val="24"/>
          <w:u w:val="single"/>
        </w:rPr>
      </w:pPr>
      <w:r w:rsidRPr="00C14591">
        <w:rPr>
          <w:b/>
          <w:bCs/>
          <w:sz w:val="24"/>
          <w:szCs w:val="24"/>
          <w:u w:val="single"/>
        </w:rPr>
        <w:t xml:space="preserve">SPECIFICAȚIILE TEHNICE ALE DOZIMETRELOR, </w:t>
      </w:r>
    </w:p>
    <w:p w14:paraId="04924435" w14:textId="1912C701" w:rsidR="00725CBA" w:rsidRDefault="00C14591" w:rsidP="00C14591">
      <w:pPr>
        <w:spacing w:line="276" w:lineRule="auto"/>
        <w:jc w:val="center"/>
        <w:rPr>
          <w:b/>
          <w:bCs/>
          <w:sz w:val="24"/>
          <w:szCs w:val="24"/>
          <w:u w:val="single"/>
        </w:rPr>
      </w:pPr>
      <w:r w:rsidRPr="00C14591">
        <w:rPr>
          <w:b/>
          <w:bCs/>
          <w:sz w:val="24"/>
          <w:szCs w:val="24"/>
          <w:u w:val="single"/>
        </w:rPr>
        <w:t xml:space="preserve">în vederea întocmirii caietului de sarcini pentru achiziția „SERVICIILOR DE MONITORIZARE DOZIMETRICĂ INDIVIDUALĂ PENTRU ANUL 2026 A PERSONALULUI EXPUS PROFESIONAL LA RADIAȚII IONIZATE”, conform </w:t>
      </w:r>
      <w:r w:rsidR="00E3034C">
        <w:rPr>
          <w:b/>
          <w:bCs/>
          <w:sz w:val="24"/>
          <w:szCs w:val="24"/>
          <w:u w:val="single"/>
        </w:rPr>
        <w:t>“</w:t>
      </w:r>
      <w:r w:rsidRPr="00C14591">
        <w:rPr>
          <w:b/>
          <w:bCs/>
          <w:sz w:val="24"/>
          <w:szCs w:val="24"/>
          <w:u w:val="single"/>
        </w:rPr>
        <w:t>Normelor De Dozimetrie Individuală Și Radon</w:t>
      </w:r>
      <w:r w:rsidR="00E3034C">
        <w:rPr>
          <w:b/>
          <w:bCs/>
          <w:sz w:val="24"/>
          <w:szCs w:val="24"/>
          <w:u w:val="single"/>
        </w:rPr>
        <w:t>”</w:t>
      </w:r>
      <w:r w:rsidRPr="00C14591">
        <w:rPr>
          <w:b/>
          <w:bCs/>
          <w:sz w:val="24"/>
          <w:szCs w:val="24"/>
          <w:u w:val="single"/>
        </w:rPr>
        <w:t>, Publicate În Monitorul Oficial, Partea I, Nr. 1225 Bis/14.12.2020, sunt următoarele:</w:t>
      </w:r>
    </w:p>
    <w:p w14:paraId="0EECE6F6" w14:textId="77777777" w:rsidR="00C14591" w:rsidRPr="00C14591" w:rsidRDefault="00C14591" w:rsidP="00C14591">
      <w:pPr>
        <w:spacing w:line="276" w:lineRule="auto"/>
        <w:jc w:val="center"/>
        <w:rPr>
          <w:b/>
          <w:bCs/>
          <w:sz w:val="28"/>
          <w:szCs w:val="28"/>
          <w:u w:val="single"/>
          <w:lang w:val="ro-RO"/>
        </w:rPr>
      </w:pPr>
    </w:p>
    <w:p w14:paraId="766F3C4A" w14:textId="1EB78DB9" w:rsidR="00725CBA" w:rsidRDefault="00D024D0">
      <w:pPr>
        <w:numPr>
          <w:ilvl w:val="0"/>
          <w:numId w:val="4"/>
        </w:numPr>
        <w:spacing w:line="276" w:lineRule="auto"/>
        <w:jc w:val="both"/>
        <w:rPr>
          <w:sz w:val="24"/>
          <w:szCs w:val="24"/>
          <w:lang w:val="ro-RO"/>
        </w:rPr>
      </w:pPr>
      <w:r>
        <w:rPr>
          <w:sz w:val="24"/>
          <w:szCs w:val="24"/>
          <w:lang w:val="ro-RO"/>
        </w:rPr>
        <w:t xml:space="preserve">Evaluarea dozelor primite la nivelul întregului organism (whole body), la nivelul extremităților sau cristalinului să se realizeze cu ajutorul dozimetrelor de monitorizare individuale pentru fotoni și radiații beta. Acestea pot fi </w:t>
      </w:r>
      <w:r>
        <w:rPr>
          <w:color w:val="000000"/>
          <w:sz w:val="24"/>
          <w:szCs w:val="24"/>
          <w:lang w:val="ro-RO"/>
        </w:rPr>
        <w:t>dozimetre OSL - Optically Stimulated Luminescence (Luminiscență stimulată optic) sau/și dozimetre TLD - Thermo-Luminescence Dosimeter (Dozimetru cu termoluminiscență);</w:t>
      </w:r>
    </w:p>
    <w:p w14:paraId="2468C770" w14:textId="77777777" w:rsidR="00725CBA" w:rsidRDefault="00D024D0">
      <w:pPr>
        <w:numPr>
          <w:ilvl w:val="0"/>
          <w:numId w:val="4"/>
        </w:numPr>
        <w:spacing w:line="276" w:lineRule="auto"/>
        <w:jc w:val="both"/>
        <w:rPr>
          <w:sz w:val="24"/>
          <w:szCs w:val="24"/>
          <w:lang w:val="ro-RO"/>
        </w:rPr>
      </w:pPr>
      <w:r>
        <w:rPr>
          <w:sz w:val="24"/>
          <w:szCs w:val="24"/>
          <w:lang w:val="ro-RO"/>
        </w:rPr>
        <w:t>La solicitarea spitalului să se poată asigura dozimetre care pot fi purtate peste șorț în cazul în care persoanele expuse lucrează în câmpuri neuniforme de radiații;</w:t>
      </w:r>
    </w:p>
    <w:p w14:paraId="62B7E489" w14:textId="77777777" w:rsidR="00725CBA" w:rsidRDefault="00D024D0">
      <w:pPr>
        <w:pStyle w:val="ListParagraph"/>
        <w:numPr>
          <w:ilvl w:val="0"/>
          <w:numId w:val="4"/>
        </w:numPr>
        <w:spacing w:line="276" w:lineRule="auto"/>
        <w:rPr>
          <w:rFonts w:ascii="Times New Roman" w:hAnsi="Times New Roman"/>
          <w:sz w:val="24"/>
          <w:szCs w:val="24"/>
          <w:lang w:val="ro-RO"/>
        </w:rPr>
      </w:pPr>
      <w:r>
        <w:rPr>
          <w:rFonts w:ascii="Times New Roman" w:hAnsi="Times New Roman"/>
          <w:sz w:val="24"/>
          <w:szCs w:val="24"/>
          <w:lang w:val="ro-RO"/>
        </w:rPr>
        <w:t>Caracteristicile dozimetrelor:</w:t>
      </w:r>
    </w:p>
    <w:p w14:paraId="43C7353C" w14:textId="77777777" w:rsidR="00725CBA" w:rsidRDefault="00D024D0">
      <w:pPr>
        <w:pStyle w:val="ListParagraph"/>
        <w:numPr>
          <w:ilvl w:val="0"/>
          <w:numId w:val="2"/>
        </w:numPr>
        <w:spacing w:after="29" w:line="276" w:lineRule="auto"/>
        <w:ind w:left="1020" w:hanging="283"/>
        <w:contextualSpacing/>
        <w:rPr>
          <w:rFonts w:ascii="Times New Roman" w:hAnsi="Times New Roman"/>
          <w:sz w:val="24"/>
          <w:szCs w:val="24"/>
          <w:lang w:val="ro-RO"/>
        </w:rPr>
      </w:pPr>
      <w:r>
        <w:rPr>
          <w:rFonts w:ascii="Times New Roman" w:hAnsi="Times New Roman"/>
          <w:sz w:val="24"/>
          <w:szCs w:val="24"/>
          <w:lang w:val="ro-RO"/>
        </w:rPr>
        <w:t xml:space="preserve">Tip radiații măsurate: </w:t>
      </w:r>
      <w:r>
        <w:rPr>
          <w:rFonts w:ascii="Times New Roman" w:hAnsi="Times New Roman"/>
          <w:b/>
          <w:bCs/>
          <w:sz w:val="24"/>
          <w:szCs w:val="24"/>
          <w:lang w:val="ro-RO"/>
        </w:rPr>
        <w:t>fotoni (X, gamma) și beta.</w:t>
      </w:r>
    </w:p>
    <w:p w14:paraId="4C5213FD" w14:textId="77777777" w:rsidR="00725CBA" w:rsidRDefault="00D024D0">
      <w:pPr>
        <w:pStyle w:val="ListParagraph"/>
        <w:numPr>
          <w:ilvl w:val="1"/>
          <w:numId w:val="2"/>
        </w:numPr>
        <w:spacing w:line="276" w:lineRule="auto"/>
        <w:rPr>
          <w:rFonts w:ascii="Times New Roman" w:hAnsi="Times New Roman"/>
          <w:sz w:val="24"/>
          <w:szCs w:val="24"/>
          <w:lang w:val="ro-RO"/>
        </w:rPr>
      </w:pPr>
      <w:r>
        <w:rPr>
          <w:rFonts w:ascii="Times New Roman" w:hAnsi="Times New Roman"/>
          <w:sz w:val="24"/>
          <w:szCs w:val="24"/>
          <w:lang w:val="ro-RO"/>
        </w:rPr>
        <w:t xml:space="preserve">Domeniul de doza: </w:t>
      </w:r>
      <w:r>
        <w:rPr>
          <w:rFonts w:ascii="Times New Roman" w:hAnsi="Times New Roman"/>
          <w:b/>
          <w:bCs/>
          <w:sz w:val="24"/>
          <w:szCs w:val="24"/>
          <w:lang w:val="ro-RO"/>
        </w:rPr>
        <w:t>0.02mSv – 10 Sv</w:t>
      </w:r>
    </w:p>
    <w:p w14:paraId="03D5BEE9" w14:textId="24D10F85" w:rsidR="00725CBA" w:rsidRDefault="00D024D0">
      <w:pPr>
        <w:pStyle w:val="ListParagraph"/>
        <w:numPr>
          <w:ilvl w:val="1"/>
          <w:numId w:val="2"/>
        </w:numPr>
        <w:spacing w:line="276" w:lineRule="auto"/>
        <w:rPr>
          <w:rFonts w:ascii="Times New Roman" w:hAnsi="Times New Roman"/>
          <w:sz w:val="24"/>
          <w:szCs w:val="24"/>
          <w:lang w:val="ro-RO"/>
        </w:rPr>
      </w:pPr>
      <w:r>
        <w:rPr>
          <w:rFonts w:ascii="Times New Roman" w:hAnsi="Times New Roman"/>
          <w:sz w:val="24"/>
          <w:szCs w:val="24"/>
          <w:lang w:val="ro-RO"/>
        </w:rPr>
        <w:t xml:space="preserve">Domeniul de energii: </w:t>
      </w:r>
      <w:r w:rsidR="005967E2">
        <w:rPr>
          <w:rFonts w:ascii="Times New Roman" w:hAnsi="Times New Roman"/>
          <w:b/>
          <w:bCs/>
          <w:sz w:val="24"/>
          <w:szCs w:val="24"/>
          <w:lang w:val="ro-RO"/>
        </w:rPr>
        <w:t>10 k</w:t>
      </w:r>
      <w:r>
        <w:rPr>
          <w:rFonts w:ascii="Times New Roman" w:hAnsi="Times New Roman"/>
          <w:b/>
          <w:bCs/>
          <w:sz w:val="24"/>
          <w:szCs w:val="24"/>
          <w:lang w:val="ro-RO"/>
        </w:rPr>
        <w:t>eV – 10MeV</w:t>
      </w:r>
    </w:p>
    <w:p w14:paraId="3A0996A2" w14:textId="77777777" w:rsidR="00725CBA" w:rsidRDefault="00D024D0">
      <w:pPr>
        <w:pStyle w:val="ListParagraph"/>
        <w:numPr>
          <w:ilvl w:val="1"/>
          <w:numId w:val="2"/>
        </w:numPr>
        <w:spacing w:line="276" w:lineRule="auto"/>
        <w:rPr>
          <w:rFonts w:ascii="Times New Roman" w:hAnsi="Times New Roman"/>
          <w:sz w:val="24"/>
          <w:szCs w:val="24"/>
          <w:lang w:val="ro-RO"/>
        </w:rPr>
      </w:pPr>
      <w:r>
        <w:rPr>
          <w:rFonts w:ascii="Times New Roman" w:hAnsi="Times New Roman"/>
          <w:sz w:val="24"/>
          <w:szCs w:val="24"/>
          <w:lang w:val="ro-RO"/>
        </w:rPr>
        <w:t xml:space="preserve">Detectorii să fie realizați din material echivalent țesut </w:t>
      </w:r>
    </w:p>
    <w:p w14:paraId="1CE4A237" w14:textId="306D86E5" w:rsidR="00725CBA" w:rsidRDefault="00507A72">
      <w:pPr>
        <w:pStyle w:val="ListParagraph"/>
        <w:numPr>
          <w:ilvl w:val="1"/>
          <w:numId w:val="2"/>
        </w:numPr>
        <w:spacing w:line="276" w:lineRule="auto"/>
        <w:contextualSpacing/>
        <w:jc w:val="both"/>
        <w:rPr>
          <w:rFonts w:ascii="Times New Roman" w:hAnsi="Times New Roman"/>
          <w:sz w:val="24"/>
          <w:szCs w:val="24"/>
          <w:lang w:val="ro-RO"/>
        </w:rPr>
      </w:pPr>
      <w:r>
        <w:rPr>
          <w:rFonts w:ascii="Times New Roman" w:hAnsi="Times New Roman"/>
          <w:sz w:val="24"/>
          <w:szCs w:val="24"/>
          <w:lang w:val="ro-RO"/>
        </w:rPr>
        <w:t xml:space="preserve">Dozimetrele pentru evaluarea dozei </w:t>
      </w:r>
      <w:r w:rsidR="00D024D0">
        <w:rPr>
          <w:rFonts w:ascii="Times New Roman" w:hAnsi="Times New Roman"/>
          <w:sz w:val="24"/>
          <w:szCs w:val="24"/>
          <w:lang w:val="ro-RO"/>
        </w:rPr>
        <w:t>la nivelul întregului organism sa fie încastrate într-o caseta specială. Analiza detectorilor să ofere informații despre energia medie și unghiul de iradiere.</w:t>
      </w:r>
    </w:p>
    <w:p w14:paraId="12138D50" w14:textId="0D60FBAE" w:rsidR="00507A72" w:rsidRPr="002F7F19" w:rsidRDefault="00661D8C">
      <w:pPr>
        <w:pStyle w:val="ListParagraph"/>
        <w:numPr>
          <w:ilvl w:val="1"/>
          <w:numId w:val="2"/>
        </w:numPr>
        <w:spacing w:line="276" w:lineRule="auto"/>
        <w:contextualSpacing/>
        <w:jc w:val="both"/>
        <w:rPr>
          <w:rFonts w:ascii="Times New Roman" w:hAnsi="Times New Roman"/>
          <w:sz w:val="24"/>
          <w:szCs w:val="24"/>
          <w:lang w:val="ro-RO"/>
        </w:rPr>
      </w:pPr>
      <w:r>
        <w:rPr>
          <w:rFonts w:ascii="Times New Roman" w:hAnsi="Times New Roman"/>
          <w:sz w:val="24"/>
          <w:szCs w:val="24"/>
          <w:lang w:val="ro-RO"/>
        </w:rPr>
        <w:t>Pentru e</w:t>
      </w:r>
      <w:r w:rsidR="00E62119">
        <w:rPr>
          <w:rFonts w:ascii="Times New Roman" w:hAnsi="Times New Roman"/>
          <w:sz w:val="24"/>
          <w:szCs w:val="24"/>
          <w:lang w:val="ro-RO"/>
        </w:rPr>
        <w:t>valuarea</w:t>
      </w:r>
      <w:r w:rsidR="00507A72">
        <w:rPr>
          <w:rFonts w:ascii="Times New Roman" w:hAnsi="Times New Roman"/>
          <w:sz w:val="24"/>
          <w:szCs w:val="24"/>
          <w:lang w:val="ro-RO"/>
        </w:rPr>
        <w:t xml:space="preserve"> dozei la nivelul </w:t>
      </w:r>
      <w:r w:rsidR="00507A72" w:rsidRPr="00E62119">
        <w:rPr>
          <w:rFonts w:ascii="Times New Roman" w:hAnsi="Times New Roman"/>
          <w:sz w:val="24"/>
          <w:szCs w:val="24"/>
          <w:lang w:val="ro-RO"/>
        </w:rPr>
        <w:t>extremităților</w:t>
      </w:r>
      <w:r w:rsidR="00507A72">
        <w:rPr>
          <w:sz w:val="24"/>
          <w:szCs w:val="24"/>
          <w:lang w:val="ro-RO"/>
        </w:rPr>
        <w:t xml:space="preserve"> </w:t>
      </w:r>
      <w:r>
        <w:rPr>
          <w:rFonts w:ascii="Times New Roman" w:hAnsi="Times New Roman"/>
          <w:sz w:val="24"/>
          <w:szCs w:val="24"/>
          <w:lang w:val="ro-RO"/>
        </w:rPr>
        <w:t>se vor folosi</w:t>
      </w:r>
      <w:r w:rsidR="00507A72" w:rsidRPr="002F7F19">
        <w:rPr>
          <w:rFonts w:ascii="Times New Roman" w:hAnsi="Times New Roman"/>
          <w:sz w:val="24"/>
          <w:szCs w:val="24"/>
          <w:lang w:val="ro-RO"/>
        </w:rPr>
        <w:t xml:space="preserve"> dozimetre tip inel </w:t>
      </w:r>
      <w:r w:rsidR="008C3399">
        <w:rPr>
          <w:rFonts w:ascii="Times New Roman" w:hAnsi="Times New Roman"/>
          <w:sz w:val="24"/>
          <w:szCs w:val="24"/>
          <w:lang w:val="ro-RO"/>
        </w:rPr>
        <w:t>sau</w:t>
      </w:r>
      <w:r w:rsidR="00507A72" w:rsidRPr="002F7F19">
        <w:rPr>
          <w:rFonts w:ascii="Times New Roman" w:hAnsi="Times New Roman"/>
          <w:sz w:val="24"/>
          <w:szCs w:val="24"/>
          <w:lang w:val="ro-RO"/>
        </w:rPr>
        <w:t xml:space="preserve"> tip br</w:t>
      </w:r>
      <w:r>
        <w:rPr>
          <w:rFonts w:ascii="Times New Roman" w:hAnsi="Times New Roman"/>
          <w:sz w:val="24"/>
          <w:szCs w:val="24"/>
          <w:lang w:val="ro-RO"/>
        </w:rPr>
        <w:t>ă</w:t>
      </w:r>
      <w:r w:rsidR="00507A72" w:rsidRPr="002F7F19">
        <w:rPr>
          <w:rFonts w:ascii="Times New Roman" w:hAnsi="Times New Roman"/>
          <w:sz w:val="24"/>
          <w:szCs w:val="24"/>
          <w:lang w:val="ro-RO"/>
        </w:rPr>
        <w:t>țară</w:t>
      </w:r>
      <w:r w:rsidR="0071530D">
        <w:rPr>
          <w:rFonts w:ascii="Times New Roman" w:hAnsi="Times New Roman"/>
          <w:sz w:val="24"/>
          <w:szCs w:val="24"/>
          <w:lang w:val="ro-RO"/>
        </w:rPr>
        <w:t xml:space="preserve"> (</w:t>
      </w:r>
      <w:r w:rsidR="009306DB">
        <w:rPr>
          <w:rFonts w:ascii="Times New Roman" w:hAnsi="Times New Roman"/>
          <w:sz w:val="24"/>
          <w:szCs w:val="24"/>
          <w:lang w:val="ro-RO"/>
        </w:rPr>
        <w:t>în funcție de</w:t>
      </w:r>
      <w:r w:rsidR="0071530D">
        <w:rPr>
          <w:rFonts w:ascii="Times New Roman" w:hAnsi="Times New Roman"/>
          <w:sz w:val="24"/>
          <w:szCs w:val="24"/>
          <w:lang w:val="ro-RO"/>
        </w:rPr>
        <w:t xml:space="preserve"> preferințele personalului care le va folosi)</w:t>
      </w:r>
      <w:r w:rsidR="00507A72" w:rsidRPr="002F7F19">
        <w:rPr>
          <w:rFonts w:ascii="Times New Roman" w:hAnsi="Times New Roman"/>
          <w:sz w:val="24"/>
          <w:szCs w:val="24"/>
          <w:lang w:val="ro-RO"/>
        </w:rPr>
        <w:t>;</w:t>
      </w:r>
    </w:p>
    <w:p w14:paraId="4F275C4C" w14:textId="62A5BB4A" w:rsidR="002311C5" w:rsidRPr="002311C5" w:rsidRDefault="002311C5" w:rsidP="002311C5">
      <w:pPr>
        <w:pStyle w:val="ListParagraph"/>
        <w:numPr>
          <w:ilvl w:val="1"/>
          <w:numId w:val="2"/>
        </w:numPr>
        <w:overflowPunct w:val="0"/>
        <w:spacing w:line="276" w:lineRule="auto"/>
        <w:contextualSpacing/>
        <w:jc w:val="both"/>
        <w:rPr>
          <w:rFonts w:ascii="Times New Roman" w:hAnsi="Times New Roman"/>
          <w:sz w:val="24"/>
          <w:szCs w:val="24"/>
          <w:lang w:val="ro-RO"/>
        </w:rPr>
      </w:pPr>
      <w:r w:rsidRPr="006C3C0D">
        <w:rPr>
          <w:rFonts w:ascii="Times New Roman" w:hAnsi="Times New Roman"/>
          <w:sz w:val="24"/>
          <w:szCs w:val="24"/>
          <w:lang w:val="ro-RO"/>
        </w:rPr>
        <w:t>Dozimetrele folosite la extremit</w:t>
      </w:r>
      <w:r w:rsidR="00D97090">
        <w:rPr>
          <w:rFonts w:ascii="Times New Roman" w:hAnsi="Times New Roman"/>
          <w:sz w:val="24"/>
          <w:szCs w:val="24"/>
          <w:lang w:val="ro-RO"/>
        </w:rPr>
        <w:t>ăț</w:t>
      </w:r>
      <w:r w:rsidRPr="006C3C0D">
        <w:rPr>
          <w:rFonts w:ascii="Times New Roman" w:hAnsi="Times New Roman"/>
          <w:sz w:val="24"/>
          <w:szCs w:val="24"/>
          <w:lang w:val="ro-RO"/>
        </w:rPr>
        <w:t xml:space="preserve">i (cele tip inel) </w:t>
      </w:r>
      <w:r w:rsidR="00D97090">
        <w:rPr>
          <w:rFonts w:ascii="Times New Roman" w:hAnsi="Times New Roman"/>
          <w:sz w:val="24"/>
          <w:szCs w:val="24"/>
          <w:lang w:val="ro-RO"/>
        </w:rPr>
        <w:t xml:space="preserve">trebuie </w:t>
      </w:r>
      <w:r w:rsidRPr="006C3C0D">
        <w:rPr>
          <w:rFonts w:ascii="Times New Roman" w:hAnsi="Times New Roman"/>
          <w:sz w:val="24"/>
          <w:szCs w:val="24"/>
          <w:lang w:val="ro-RO"/>
        </w:rPr>
        <w:t>s</w:t>
      </w:r>
      <w:r w:rsidR="00D97090">
        <w:rPr>
          <w:rFonts w:ascii="Times New Roman" w:hAnsi="Times New Roman"/>
          <w:sz w:val="24"/>
          <w:szCs w:val="24"/>
          <w:lang w:val="ro-RO"/>
        </w:rPr>
        <w:t>ă</w:t>
      </w:r>
      <w:r w:rsidRPr="006C3C0D">
        <w:rPr>
          <w:rFonts w:ascii="Times New Roman" w:hAnsi="Times New Roman"/>
          <w:sz w:val="24"/>
          <w:szCs w:val="24"/>
          <w:lang w:val="ro-RO"/>
        </w:rPr>
        <w:t xml:space="preserve"> fie rezistente </w:t>
      </w:r>
      <w:r w:rsidR="00D97090">
        <w:rPr>
          <w:rFonts w:ascii="Times New Roman" w:hAnsi="Times New Roman"/>
          <w:sz w:val="24"/>
          <w:szCs w:val="24"/>
          <w:lang w:val="ro-RO"/>
        </w:rPr>
        <w:t>î</w:t>
      </w:r>
      <w:r w:rsidRPr="006C3C0D">
        <w:rPr>
          <w:rFonts w:ascii="Times New Roman" w:hAnsi="Times New Roman"/>
          <w:sz w:val="24"/>
          <w:szCs w:val="24"/>
          <w:lang w:val="ro-RO"/>
        </w:rPr>
        <w:t>n condi</w:t>
      </w:r>
      <w:r w:rsidR="00D97090">
        <w:rPr>
          <w:rFonts w:ascii="Times New Roman" w:hAnsi="Times New Roman"/>
          <w:sz w:val="24"/>
          <w:szCs w:val="24"/>
          <w:lang w:val="ro-RO"/>
        </w:rPr>
        <w:t>ț</w:t>
      </w:r>
      <w:r w:rsidRPr="006C3C0D">
        <w:rPr>
          <w:rFonts w:ascii="Times New Roman" w:hAnsi="Times New Roman"/>
          <w:sz w:val="24"/>
          <w:szCs w:val="24"/>
          <w:lang w:val="ro-RO"/>
        </w:rPr>
        <w:t>ii de umiditate ridicat</w:t>
      </w:r>
      <w:r w:rsidR="00D97090">
        <w:rPr>
          <w:rFonts w:ascii="Times New Roman" w:hAnsi="Times New Roman"/>
          <w:sz w:val="24"/>
          <w:szCs w:val="24"/>
          <w:lang w:val="ro-RO"/>
        </w:rPr>
        <w:t>ă</w:t>
      </w:r>
      <w:r w:rsidRPr="006C3C0D">
        <w:rPr>
          <w:rFonts w:ascii="Times New Roman" w:hAnsi="Times New Roman"/>
          <w:sz w:val="24"/>
          <w:szCs w:val="24"/>
          <w:lang w:val="ro-RO"/>
        </w:rPr>
        <w:t>, rezistente la ap</w:t>
      </w:r>
      <w:r w:rsidR="00D97090">
        <w:rPr>
          <w:rFonts w:ascii="Times New Roman" w:hAnsi="Times New Roman"/>
          <w:sz w:val="24"/>
          <w:szCs w:val="24"/>
          <w:lang w:val="ro-RO"/>
        </w:rPr>
        <w:t>ă</w:t>
      </w:r>
      <w:r w:rsidRPr="006C3C0D">
        <w:rPr>
          <w:rFonts w:ascii="Times New Roman" w:hAnsi="Times New Roman"/>
          <w:sz w:val="24"/>
          <w:szCs w:val="24"/>
          <w:lang w:val="ro-RO"/>
        </w:rPr>
        <w:t xml:space="preserve"> </w:t>
      </w:r>
      <w:r w:rsidR="00D97090">
        <w:rPr>
          <w:rFonts w:ascii="Times New Roman" w:hAnsi="Times New Roman"/>
          <w:sz w:val="24"/>
          <w:szCs w:val="24"/>
          <w:lang w:val="ro-RO"/>
        </w:rPr>
        <w:t>ș</w:t>
      </w:r>
      <w:r w:rsidRPr="006C3C0D">
        <w:rPr>
          <w:rFonts w:ascii="Times New Roman" w:hAnsi="Times New Roman"/>
          <w:sz w:val="24"/>
          <w:szCs w:val="24"/>
          <w:lang w:val="ro-RO"/>
        </w:rPr>
        <w:t>i la solu</w:t>
      </w:r>
      <w:r w:rsidR="00D97090">
        <w:rPr>
          <w:rFonts w:ascii="Times New Roman" w:hAnsi="Times New Roman"/>
          <w:sz w:val="24"/>
          <w:szCs w:val="24"/>
          <w:lang w:val="ro-RO"/>
        </w:rPr>
        <w:t>ț</w:t>
      </w:r>
      <w:r w:rsidRPr="006C3C0D">
        <w:rPr>
          <w:rFonts w:ascii="Times New Roman" w:hAnsi="Times New Roman"/>
          <w:sz w:val="24"/>
          <w:szCs w:val="24"/>
          <w:lang w:val="ro-RO"/>
        </w:rPr>
        <w:t>ii de dezinfectare( ex.: cloramina etc.)</w:t>
      </w:r>
    </w:p>
    <w:p w14:paraId="0A2FD7E6" w14:textId="77777777" w:rsidR="00725CBA" w:rsidRDefault="00D024D0">
      <w:pPr>
        <w:numPr>
          <w:ilvl w:val="0"/>
          <w:numId w:val="4"/>
        </w:numPr>
        <w:spacing w:line="276" w:lineRule="auto"/>
        <w:jc w:val="both"/>
        <w:rPr>
          <w:sz w:val="24"/>
          <w:szCs w:val="24"/>
          <w:lang w:val="ro-RO"/>
        </w:rPr>
      </w:pPr>
      <w:r>
        <w:rPr>
          <w:sz w:val="24"/>
          <w:szCs w:val="24"/>
          <w:lang w:val="ro-RO"/>
        </w:rPr>
        <w:t>Dozimetrele să fie sigilate în pungi speciale de culori diferite pentru luni consecutive și să fie etichetate cu datele de identificare ale persoanei expuse profesional, secția, spitalul, codul unic de identificare al dozimetrului.</w:t>
      </w:r>
    </w:p>
    <w:p w14:paraId="687A43B5" w14:textId="77777777" w:rsidR="00725CBA" w:rsidRDefault="00D024D0">
      <w:pPr>
        <w:numPr>
          <w:ilvl w:val="0"/>
          <w:numId w:val="4"/>
        </w:numPr>
        <w:spacing w:line="276" w:lineRule="auto"/>
        <w:jc w:val="both"/>
        <w:rPr>
          <w:sz w:val="24"/>
          <w:szCs w:val="24"/>
          <w:lang w:val="ro-RO"/>
        </w:rPr>
      </w:pPr>
      <w:r>
        <w:rPr>
          <w:sz w:val="24"/>
          <w:szCs w:val="24"/>
          <w:lang w:val="ro-RO"/>
        </w:rPr>
        <w:t xml:space="preserve">Disponibilitatea rezultatelor. În situații de urgență, dozimetrele să poată fi citite imediat ce ajung în laborator, iar rezultatele să poată fi disponibile imediat </w:t>
      </w:r>
      <w:r>
        <w:rPr>
          <w:b/>
          <w:bCs/>
          <w:sz w:val="24"/>
          <w:szCs w:val="24"/>
          <w:lang w:val="ro-RO"/>
        </w:rPr>
        <w:t>(max. 1 zi lucrătoare).</w:t>
      </w:r>
      <w:r>
        <w:rPr>
          <w:sz w:val="24"/>
          <w:szCs w:val="24"/>
          <w:lang w:val="ro-RO"/>
        </w:rPr>
        <w:t xml:space="preserve"> În condiții normale, rezultatele monitorizării să poată fi disponibile în </w:t>
      </w:r>
      <w:r>
        <w:rPr>
          <w:b/>
          <w:bCs/>
          <w:sz w:val="24"/>
          <w:szCs w:val="24"/>
          <w:lang w:val="ro-RO"/>
        </w:rPr>
        <w:t>maxim 15 zile</w:t>
      </w:r>
      <w:r>
        <w:rPr>
          <w:sz w:val="24"/>
          <w:szCs w:val="24"/>
          <w:lang w:val="ro-RO"/>
        </w:rPr>
        <w:t xml:space="preserve"> </w:t>
      </w:r>
      <w:r>
        <w:rPr>
          <w:b/>
          <w:bCs/>
          <w:sz w:val="24"/>
          <w:szCs w:val="24"/>
          <w:lang w:val="ro-RO"/>
        </w:rPr>
        <w:t xml:space="preserve">lucrătoare. </w:t>
      </w:r>
    </w:p>
    <w:p w14:paraId="35845697" w14:textId="77777777" w:rsidR="00725CBA" w:rsidRDefault="00D024D0">
      <w:pPr>
        <w:numPr>
          <w:ilvl w:val="0"/>
          <w:numId w:val="4"/>
        </w:numPr>
        <w:spacing w:line="276" w:lineRule="auto"/>
        <w:jc w:val="both"/>
        <w:rPr>
          <w:sz w:val="24"/>
          <w:szCs w:val="24"/>
          <w:lang w:val="ro-RO"/>
        </w:rPr>
      </w:pPr>
      <w:r>
        <w:rPr>
          <w:sz w:val="24"/>
          <w:szCs w:val="24"/>
          <w:lang w:val="ro-RO"/>
        </w:rPr>
        <w:t xml:space="preserve">Dozimetrele aferente lunii următoare se vor expedia lunar până la data de 25 ale fiecărei luni.  </w:t>
      </w:r>
    </w:p>
    <w:p w14:paraId="30FA9E8C" w14:textId="088C1341" w:rsidR="00725CBA" w:rsidRDefault="00D024D0">
      <w:pPr>
        <w:numPr>
          <w:ilvl w:val="0"/>
          <w:numId w:val="4"/>
        </w:numPr>
        <w:spacing w:line="276" w:lineRule="auto"/>
        <w:jc w:val="both"/>
        <w:rPr>
          <w:sz w:val="24"/>
          <w:szCs w:val="24"/>
          <w:lang w:val="ro-RO"/>
        </w:rPr>
      </w:pPr>
      <w:r>
        <w:rPr>
          <w:sz w:val="24"/>
          <w:szCs w:val="24"/>
          <w:lang w:val="ro-RO"/>
        </w:rPr>
        <w:t>Arhivarea înregistrărilor de doze trebuie sa fie adecvată cerințelor reglementarilor naționale, recomandărilor producătorilor de filme dozimetrice și cerințelor registrului național de doze. Arhivarea înregistrărilor se face pentru perioada de timp prevăzută în N.F.S.R. Condițiile privind arhivarea sunt aprobate de C.N.C.A.N. în procedura de desemnare. Accesul la informațiile arhivate și al înregistrărilor care au fost folosite la evaluarea tuturor dozelor să fie facil și să fie puse la dispoziția beneficiarului sau al reprezentanților autorităților ori de câte ori vor fi solicitate.</w:t>
      </w:r>
    </w:p>
    <w:p w14:paraId="19A12379" w14:textId="77777777" w:rsidR="00725CBA" w:rsidRDefault="00D024D0">
      <w:pPr>
        <w:numPr>
          <w:ilvl w:val="0"/>
          <w:numId w:val="4"/>
        </w:numPr>
        <w:spacing w:line="276" w:lineRule="auto"/>
        <w:jc w:val="both"/>
        <w:rPr>
          <w:sz w:val="24"/>
          <w:szCs w:val="24"/>
          <w:lang w:val="ro-RO"/>
        </w:rPr>
      </w:pPr>
      <w:r>
        <w:rPr>
          <w:sz w:val="24"/>
          <w:szCs w:val="24"/>
          <w:lang w:val="ro-RO"/>
        </w:rPr>
        <w:lastRenderedPageBreak/>
        <w:t>Raportarea către beneficiar, C.N.C.A.N. și Autoritatea de Sănătate Publică în cazul detectării unei expuneri ce depășește limita admisă de lege, în vederea identificării și înlăturarea motivelor care au dus la supraexpunere. Conform NSR 01/Art. 22. - Limita dozei efective pentru personalul expus profesional este de 20 mSv/an: pentru cristalin - 150 mSv/an; pentru piele - 500 mSv/ an; pentru extremitățile mâinilor și picioarelor - 500 mSv/an.</w:t>
      </w:r>
    </w:p>
    <w:p w14:paraId="55DA9ECA" w14:textId="77777777" w:rsidR="00725CBA" w:rsidRDefault="00D024D0">
      <w:pPr>
        <w:numPr>
          <w:ilvl w:val="0"/>
          <w:numId w:val="4"/>
        </w:numPr>
        <w:spacing w:line="276" w:lineRule="auto"/>
        <w:jc w:val="both"/>
        <w:rPr>
          <w:sz w:val="24"/>
          <w:szCs w:val="24"/>
          <w:lang w:val="ro-RO"/>
        </w:rPr>
      </w:pPr>
      <w:r>
        <w:rPr>
          <w:sz w:val="24"/>
          <w:szCs w:val="24"/>
          <w:lang w:val="ro-RO"/>
        </w:rPr>
        <w:t>Accesul gratuit, prin internet la rezultatele monitorizării, pe bază de user și parolă.</w:t>
      </w:r>
    </w:p>
    <w:p w14:paraId="3F0A9050" w14:textId="77777777" w:rsidR="00725CBA" w:rsidRDefault="00D024D0">
      <w:pPr>
        <w:numPr>
          <w:ilvl w:val="0"/>
          <w:numId w:val="4"/>
        </w:numPr>
        <w:spacing w:line="276" w:lineRule="auto"/>
        <w:jc w:val="both"/>
        <w:rPr>
          <w:sz w:val="24"/>
          <w:szCs w:val="24"/>
          <w:lang w:val="ro-RO"/>
        </w:rPr>
      </w:pPr>
      <w:r>
        <w:rPr>
          <w:sz w:val="24"/>
          <w:szCs w:val="24"/>
          <w:lang w:val="ro-RO"/>
        </w:rPr>
        <w:t xml:space="preserve">În cazul în care o persoană expusă profesional depășește valoarea de 1,70 mSv/lună se va emite: </w:t>
      </w:r>
    </w:p>
    <w:p w14:paraId="134F1A3E" w14:textId="77777777" w:rsidR="00725CBA" w:rsidRDefault="00D024D0">
      <w:pPr>
        <w:numPr>
          <w:ilvl w:val="0"/>
          <w:numId w:val="3"/>
        </w:numPr>
        <w:spacing w:line="276" w:lineRule="auto"/>
        <w:jc w:val="both"/>
        <w:rPr>
          <w:sz w:val="24"/>
          <w:szCs w:val="24"/>
          <w:lang w:val="ro-RO"/>
        </w:rPr>
      </w:pPr>
      <w:r>
        <w:rPr>
          <w:sz w:val="24"/>
          <w:szCs w:val="24"/>
          <w:lang w:val="ro-RO"/>
        </w:rPr>
        <w:t>un raport de atenționare în care vor fi trecute eventualele observații cu privire la dozimetrul iradiat;</w:t>
      </w:r>
    </w:p>
    <w:p w14:paraId="5CAE7372" w14:textId="77777777" w:rsidR="00725CBA" w:rsidRDefault="00D024D0">
      <w:pPr>
        <w:numPr>
          <w:ilvl w:val="0"/>
          <w:numId w:val="3"/>
        </w:numPr>
        <w:spacing w:line="276" w:lineRule="auto"/>
        <w:rPr>
          <w:sz w:val="24"/>
          <w:szCs w:val="24"/>
          <w:lang w:val="ro-RO"/>
        </w:rPr>
      </w:pPr>
      <w:r>
        <w:rPr>
          <w:sz w:val="24"/>
          <w:szCs w:val="24"/>
          <w:lang w:val="ro-RO"/>
        </w:rPr>
        <w:t>un raport dozimetric care să conțină situația dozelor înregistrate de persoana în cauză în ultimele 12 luni de monitorizare dozimetrică.</w:t>
      </w:r>
    </w:p>
    <w:p w14:paraId="4193ECD8" w14:textId="77777777" w:rsidR="00F94CFD" w:rsidRDefault="00F94CFD" w:rsidP="00F94CFD">
      <w:pPr>
        <w:spacing w:line="360" w:lineRule="auto"/>
        <w:ind w:firstLine="851"/>
        <w:jc w:val="both"/>
        <w:rPr>
          <w:sz w:val="24"/>
          <w:szCs w:val="24"/>
        </w:rPr>
      </w:pPr>
    </w:p>
    <w:p w14:paraId="42EBF183" w14:textId="0DEFBF8B" w:rsidR="00C52CA0" w:rsidRPr="00E047E2" w:rsidRDefault="00C52CA0" w:rsidP="00F94CFD">
      <w:pPr>
        <w:spacing w:line="360" w:lineRule="auto"/>
        <w:ind w:firstLine="851"/>
        <w:jc w:val="both"/>
        <w:rPr>
          <w:sz w:val="24"/>
          <w:szCs w:val="24"/>
        </w:rPr>
      </w:pPr>
      <w:r w:rsidRPr="00E047E2">
        <w:rPr>
          <w:sz w:val="24"/>
          <w:szCs w:val="24"/>
        </w:rPr>
        <w:t xml:space="preserve">Solicitam achizitia serviciului de monitorizare dozimetrica sa se faca de la un singur furnizor al acestui serviciu din urmatoarele considerente: </w:t>
      </w:r>
    </w:p>
    <w:p w14:paraId="709CFF49" w14:textId="77777777" w:rsidR="00C52CA0" w:rsidRPr="00E047E2" w:rsidRDefault="00C52CA0" w:rsidP="00F94CFD">
      <w:pPr>
        <w:pStyle w:val="ListParagraph"/>
        <w:numPr>
          <w:ilvl w:val="0"/>
          <w:numId w:val="6"/>
        </w:numPr>
        <w:suppressAutoHyphens w:val="0"/>
        <w:spacing w:line="360" w:lineRule="auto"/>
        <w:contextualSpacing/>
        <w:jc w:val="both"/>
        <w:rPr>
          <w:rFonts w:ascii="Times New Roman" w:hAnsi="Times New Roman"/>
          <w:sz w:val="24"/>
          <w:szCs w:val="24"/>
          <w:lang w:eastAsia="ro-RO"/>
        </w:rPr>
      </w:pPr>
      <w:r w:rsidRPr="00E047E2">
        <w:rPr>
          <w:rFonts w:ascii="Times New Roman" w:hAnsi="Times New Roman"/>
          <w:sz w:val="24"/>
          <w:szCs w:val="24"/>
          <w:lang w:eastAsia="ro-RO"/>
        </w:rPr>
        <w:t>simplificarea proceselor administrative datorita usurintei gestionarii unui singur contract;</w:t>
      </w:r>
    </w:p>
    <w:p w14:paraId="51FA8569" w14:textId="77777777" w:rsidR="00C52CA0" w:rsidRPr="00E047E2" w:rsidRDefault="00C52CA0" w:rsidP="00F94CFD">
      <w:pPr>
        <w:pStyle w:val="ListParagraph"/>
        <w:numPr>
          <w:ilvl w:val="0"/>
          <w:numId w:val="6"/>
        </w:numPr>
        <w:suppressAutoHyphens w:val="0"/>
        <w:spacing w:line="360" w:lineRule="auto"/>
        <w:contextualSpacing/>
        <w:jc w:val="both"/>
        <w:rPr>
          <w:rFonts w:ascii="Times New Roman" w:hAnsi="Times New Roman"/>
          <w:sz w:val="24"/>
          <w:szCs w:val="24"/>
          <w:lang w:eastAsia="ro-RO"/>
        </w:rPr>
      </w:pPr>
      <w:r w:rsidRPr="00E047E2">
        <w:rPr>
          <w:rFonts w:ascii="Times New Roman" w:hAnsi="Times New Roman"/>
          <w:sz w:val="24"/>
          <w:szCs w:val="24"/>
          <w:lang w:eastAsia="ro-RO"/>
        </w:rPr>
        <w:t>coerenta si uniformitatea datelor ale masuratorilor dozimetrice;</w:t>
      </w:r>
    </w:p>
    <w:p w14:paraId="12DCEA95" w14:textId="77777777" w:rsidR="00C52CA0" w:rsidRPr="00E047E2" w:rsidRDefault="00C52CA0" w:rsidP="00F94CFD">
      <w:pPr>
        <w:pStyle w:val="ListParagraph"/>
        <w:numPr>
          <w:ilvl w:val="0"/>
          <w:numId w:val="6"/>
        </w:numPr>
        <w:suppressAutoHyphens w:val="0"/>
        <w:spacing w:line="360" w:lineRule="auto"/>
        <w:contextualSpacing/>
        <w:jc w:val="both"/>
        <w:rPr>
          <w:rFonts w:ascii="Times New Roman" w:hAnsi="Times New Roman"/>
          <w:sz w:val="24"/>
          <w:szCs w:val="24"/>
          <w:lang w:eastAsia="ro-RO"/>
        </w:rPr>
      </w:pPr>
      <w:r w:rsidRPr="00E047E2">
        <w:rPr>
          <w:rFonts w:ascii="Times New Roman" w:hAnsi="Times New Roman"/>
          <w:sz w:val="24"/>
          <w:szCs w:val="24"/>
          <w:lang w:eastAsia="ro-RO"/>
        </w:rPr>
        <w:t>comunicarea mai eficienta cu furnizorul;</w:t>
      </w:r>
    </w:p>
    <w:p w14:paraId="40201D03" w14:textId="77777777" w:rsidR="00C52CA0" w:rsidRPr="00E047E2" w:rsidRDefault="00C52CA0" w:rsidP="00F94CFD">
      <w:pPr>
        <w:pStyle w:val="ListParagraph"/>
        <w:numPr>
          <w:ilvl w:val="0"/>
          <w:numId w:val="6"/>
        </w:numPr>
        <w:suppressAutoHyphens w:val="0"/>
        <w:spacing w:line="360" w:lineRule="auto"/>
        <w:contextualSpacing/>
        <w:jc w:val="both"/>
        <w:rPr>
          <w:rFonts w:ascii="Times New Roman" w:hAnsi="Times New Roman"/>
          <w:sz w:val="24"/>
          <w:szCs w:val="24"/>
          <w:lang w:eastAsia="ro-RO"/>
        </w:rPr>
      </w:pPr>
      <w:r w:rsidRPr="00E047E2">
        <w:rPr>
          <w:rFonts w:ascii="Times New Roman" w:hAnsi="Times New Roman"/>
          <w:sz w:val="24"/>
          <w:szCs w:val="24"/>
          <w:lang w:eastAsia="ro-RO"/>
        </w:rPr>
        <w:t>optimizarea costurilor si o trasabilitate imbunatatita,</w:t>
      </w:r>
    </w:p>
    <w:p w14:paraId="2B05CF7D" w14:textId="77777777" w:rsidR="00C52CA0" w:rsidRPr="00E047E2" w:rsidRDefault="00C52CA0" w:rsidP="00F94CFD">
      <w:pPr>
        <w:pStyle w:val="ListParagraph"/>
        <w:numPr>
          <w:ilvl w:val="0"/>
          <w:numId w:val="6"/>
        </w:numPr>
        <w:suppressAutoHyphens w:val="0"/>
        <w:spacing w:line="360" w:lineRule="auto"/>
        <w:contextualSpacing/>
        <w:jc w:val="both"/>
        <w:rPr>
          <w:rFonts w:ascii="Times New Roman" w:hAnsi="Times New Roman"/>
          <w:sz w:val="24"/>
          <w:szCs w:val="24"/>
          <w:lang w:eastAsia="ro-RO"/>
        </w:rPr>
      </w:pPr>
      <w:r w:rsidRPr="00E047E2">
        <w:rPr>
          <w:rFonts w:ascii="Times New Roman" w:hAnsi="Times New Roman"/>
          <w:sz w:val="24"/>
          <w:szCs w:val="24"/>
          <w:lang w:eastAsia="ro-RO"/>
        </w:rPr>
        <w:t>calitate sporita a serviciilor de monitorizare dozimetrica si o comformitate legala mai facila in cazul raportarilor dozelor personalului expus la radiatii.</w:t>
      </w:r>
    </w:p>
    <w:p w14:paraId="18F5A842" w14:textId="77777777" w:rsidR="00C52CA0" w:rsidRPr="00E047E2" w:rsidRDefault="00C52CA0" w:rsidP="00F94CFD">
      <w:pPr>
        <w:spacing w:line="360" w:lineRule="auto"/>
        <w:ind w:firstLine="709"/>
        <w:jc w:val="both"/>
        <w:rPr>
          <w:sz w:val="24"/>
          <w:szCs w:val="24"/>
        </w:rPr>
      </w:pPr>
      <w:r w:rsidRPr="00E047E2">
        <w:rPr>
          <w:sz w:val="24"/>
          <w:szCs w:val="24"/>
        </w:rPr>
        <w:t>Aceste avantaje contribuie la o mai buna gestionare a sigurantei si sanatatii pesonalului expus la radiatii, reducand riscurile si asigurand conformitatea cu cerintele legale.</w:t>
      </w:r>
    </w:p>
    <w:p w14:paraId="2344A825" w14:textId="06979534" w:rsidR="00C52CA0" w:rsidRDefault="00C52CA0" w:rsidP="00F94CFD">
      <w:pPr>
        <w:spacing w:line="360" w:lineRule="auto"/>
        <w:ind w:firstLine="709"/>
        <w:jc w:val="both"/>
        <w:rPr>
          <w:rStyle w:val="markedcontent"/>
          <w:sz w:val="24"/>
          <w:szCs w:val="24"/>
        </w:rPr>
      </w:pPr>
      <w:r w:rsidRPr="00E047E2">
        <w:rPr>
          <w:rStyle w:val="markedcontent"/>
          <w:sz w:val="24"/>
          <w:szCs w:val="24"/>
        </w:rPr>
        <w:t>Achizitia serviciului de monitorizare dozimetrica solicitata este pentru tot personalul expus la radiatii din cadrul Spitalui Clinic Judetean de Urgenta „Sf. Apostol Andrei” Constanta</w:t>
      </w:r>
      <w:r w:rsidR="00BF632E">
        <w:rPr>
          <w:rStyle w:val="markedcontent"/>
          <w:sz w:val="24"/>
          <w:szCs w:val="24"/>
        </w:rPr>
        <w:t xml:space="preserve"> astfel</w:t>
      </w:r>
      <w:r w:rsidR="00527890">
        <w:rPr>
          <w:rStyle w:val="markedcontent"/>
          <w:sz w:val="24"/>
          <w:szCs w:val="24"/>
        </w:rPr>
        <w:t>:</w:t>
      </w:r>
    </w:p>
    <w:p w14:paraId="6915F7B7" w14:textId="372DC8ED" w:rsidR="00527890" w:rsidRPr="00BF632E" w:rsidRDefault="00527890" w:rsidP="00F94CFD">
      <w:pPr>
        <w:pStyle w:val="ListParagraph"/>
        <w:numPr>
          <w:ilvl w:val="0"/>
          <w:numId w:val="7"/>
        </w:numPr>
        <w:spacing w:line="360" w:lineRule="auto"/>
        <w:jc w:val="both"/>
        <w:rPr>
          <w:rFonts w:ascii="Times New Roman" w:hAnsi="Times New Roman"/>
          <w:bCs/>
          <w:iCs/>
          <w:sz w:val="24"/>
          <w:szCs w:val="24"/>
        </w:rPr>
      </w:pPr>
      <w:r w:rsidRPr="00BF632E">
        <w:rPr>
          <w:rFonts w:ascii="Times New Roman" w:hAnsi="Times New Roman"/>
          <w:bCs/>
          <w:iCs/>
          <w:sz w:val="24"/>
          <w:szCs w:val="24"/>
        </w:rPr>
        <w:t>Servicii de monitorizare dozimetrica individuala ‘whole body’ pentru 330 persoane expuse la radiatii ionizante.</w:t>
      </w:r>
    </w:p>
    <w:p w14:paraId="1EC11142" w14:textId="43B0D122" w:rsidR="00527890" w:rsidRPr="00BF632E" w:rsidRDefault="00527890" w:rsidP="00F94CFD">
      <w:pPr>
        <w:pStyle w:val="Default"/>
        <w:numPr>
          <w:ilvl w:val="0"/>
          <w:numId w:val="7"/>
        </w:numPr>
        <w:spacing w:line="360" w:lineRule="auto"/>
        <w:jc w:val="both"/>
        <w:rPr>
          <w:rFonts w:ascii="Times New Roman" w:hAnsi="Times New Roman" w:cs="Times New Roman"/>
          <w:bCs/>
          <w:iCs/>
        </w:rPr>
      </w:pPr>
      <w:r w:rsidRPr="00BF632E">
        <w:rPr>
          <w:rFonts w:ascii="Times New Roman" w:hAnsi="Times New Roman" w:cs="Times New Roman"/>
          <w:bCs/>
          <w:iCs/>
        </w:rPr>
        <w:t>Servicii de monitorizare dozimetrica individuala la extremitati (cristalin) pentru 45 persoane expuse la radiatii ionizante.</w:t>
      </w:r>
    </w:p>
    <w:p w14:paraId="234AB065" w14:textId="0776302D" w:rsidR="00527890" w:rsidRPr="00BF632E" w:rsidRDefault="00527890" w:rsidP="00F94CFD">
      <w:pPr>
        <w:pStyle w:val="Default"/>
        <w:numPr>
          <w:ilvl w:val="0"/>
          <w:numId w:val="7"/>
        </w:numPr>
        <w:spacing w:line="360" w:lineRule="auto"/>
        <w:jc w:val="both"/>
        <w:rPr>
          <w:rFonts w:ascii="Times New Roman" w:hAnsi="Times New Roman" w:cs="Times New Roman"/>
          <w:bCs/>
          <w:iCs/>
        </w:rPr>
      </w:pPr>
      <w:r w:rsidRPr="00BF632E">
        <w:rPr>
          <w:rFonts w:ascii="Times New Roman" w:hAnsi="Times New Roman" w:cs="Times New Roman"/>
          <w:bCs/>
          <w:iCs/>
        </w:rPr>
        <w:t>Servicii de monitorizare dozimetrica individuala la extremitati cu dozimetre tip inel pentru 30 persoane expuse la radiatii ionizante.</w:t>
      </w:r>
    </w:p>
    <w:p w14:paraId="07462C86" w14:textId="1B65C7F9" w:rsidR="00527890" w:rsidRPr="00BF632E" w:rsidRDefault="00527890" w:rsidP="00F94CFD">
      <w:pPr>
        <w:pStyle w:val="Default"/>
        <w:numPr>
          <w:ilvl w:val="0"/>
          <w:numId w:val="7"/>
        </w:numPr>
        <w:spacing w:line="360" w:lineRule="auto"/>
        <w:jc w:val="both"/>
        <w:rPr>
          <w:rFonts w:ascii="Times New Roman" w:hAnsi="Times New Roman" w:cs="Times New Roman"/>
          <w:bCs/>
          <w:iCs/>
        </w:rPr>
      </w:pPr>
      <w:r w:rsidRPr="00BF632E">
        <w:rPr>
          <w:rFonts w:ascii="Times New Roman" w:hAnsi="Times New Roman" w:cs="Times New Roman"/>
          <w:bCs/>
          <w:iCs/>
        </w:rPr>
        <w:t>Servicii de monitorizare dozimetrica individuala la extremitati cu dozimetre tip bratara pentru 30 persoane expuse la radiatii ionizante.</w:t>
      </w:r>
    </w:p>
    <w:p w14:paraId="06F65B49" w14:textId="77777777" w:rsidR="00F94CFD" w:rsidRDefault="00F94CFD" w:rsidP="00F94CFD">
      <w:pPr>
        <w:spacing w:line="360" w:lineRule="auto"/>
        <w:jc w:val="right"/>
        <w:rPr>
          <w:sz w:val="24"/>
          <w:szCs w:val="24"/>
          <w:lang w:val="ro-RO"/>
        </w:rPr>
      </w:pPr>
    </w:p>
    <w:p w14:paraId="14C35E0F" w14:textId="57522F88" w:rsidR="00725CBA" w:rsidRDefault="00D024D0" w:rsidP="00F94CFD">
      <w:pPr>
        <w:spacing w:line="360" w:lineRule="auto"/>
        <w:jc w:val="right"/>
        <w:rPr>
          <w:b/>
          <w:sz w:val="28"/>
          <w:szCs w:val="28"/>
          <w:u w:val="single"/>
          <w:lang w:val="ro-RO"/>
        </w:rPr>
      </w:pPr>
      <w:r>
        <w:rPr>
          <w:sz w:val="24"/>
          <w:szCs w:val="24"/>
          <w:lang w:val="ro-RO"/>
        </w:rPr>
        <w:t>Întocmit,</w:t>
      </w:r>
    </w:p>
    <w:p w14:paraId="25FC2285" w14:textId="77777777" w:rsidR="00725CBA" w:rsidRDefault="00725CBA" w:rsidP="00F94CFD">
      <w:pPr>
        <w:spacing w:line="360" w:lineRule="auto"/>
        <w:jc w:val="right"/>
        <w:rPr>
          <w:b/>
          <w:sz w:val="28"/>
          <w:szCs w:val="28"/>
          <w:u w:val="single"/>
          <w:lang w:val="ro-RO"/>
        </w:rPr>
      </w:pPr>
    </w:p>
    <w:p w14:paraId="54C4FD37" w14:textId="275D46AB" w:rsidR="00725CBA" w:rsidRDefault="00D024D0" w:rsidP="00F94CFD">
      <w:pPr>
        <w:spacing w:line="360" w:lineRule="auto"/>
        <w:jc w:val="right"/>
        <w:rPr>
          <w:sz w:val="24"/>
          <w:szCs w:val="24"/>
          <w:lang w:val="ro-RO"/>
        </w:rPr>
      </w:pPr>
      <w:r>
        <w:rPr>
          <w:sz w:val="24"/>
          <w:szCs w:val="24"/>
          <w:lang w:val="ro-RO"/>
        </w:rPr>
        <w:t>Fiz. Elena Maxim-Florea</w:t>
      </w:r>
    </w:p>
    <w:p w14:paraId="0F331B2A" w14:textId="142C230D" w:rsidR="00725CBA" w:rsidRPr="00F94CFD" w:rsidRDefault="00F61ED9" w:rsidP="00F94CFD">
      <w:pPr>
        <w:spacing w:line="360" w:lineRule="auto"/>
        <w:jc w:val="right"/>
        <w:rPr>
          <w:sz w:val="24"/>
          <w:szCs w:val="24"/>
          <w:lang w:val="ro-RO"/>
        </w:rPr>
      </w:pPr>
      <w:r>
        <w:rPr>
          <w:sz w:val="24"/>
          <w:szCs w:val="24"/>
          <w:lang w:val="ro-RO"/>
        </w:rPr>
        <w:t>Expert in fizica medicala de radioterapie</w:t>
      </w:r>
    </w:p>
    <w:p w14:paraId="12792F79" w14:textId="77777777" w:rsidR="00725CBA" w:rsidRDefault="00725CBA">
      <w:pPr>
        <w:spacing w:line="276" w:lineRule="auto"/>
        <w:rPr>
          <w:b/>
          <w:sz w:val="28"/>
          <w:szCs w:val="28"/>
          <w:u w:val="single"/>
          <w:lang w:val="ro-RO"/>
        </w:rPr>
      </w:pPr>
    </w:p>
    <w:sectPr w:rsidR="00725CBA">
      <w:headerReference w:type="default" r:id="rId9"/>
      <w:footerReference w:type="default" r:id="rId10"/>
      <w:headerReference w:type="first" r:id="rId11"/>
      <w:footerReference w:type="first" r:id="rId12"/>
      <w:pgSz w:w="11906" w:h="16838"/>
      <w:pgMar w:top="403" w:right="1138" w:bottom="1138" w:left="1138" w:header="346" w:footer="0" w:gutter="0"/>
      <w:cols w:space="720"/>
      <w:formProt w:val="0"/>
      <w:titlePg/>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D7E43" w14:textId="77777777" w:rsidR="00750812" w:rsidRDefault="00750812">
      <w:r>
        <w:separator/>
      </w:r>
    </w:p>
  </w:endnote>
  <w:endnote w:type="continuationSeparator" w:id="0">
    <w:p w14:paraId="4AE81F5E" w14:textId="77777777" w:rsidR="00750812" w:rsidRDefault="00750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mbria"/>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font>
  <w:font w:name="Calibri">
    <w:altName w:val="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DCE4" w14:textId="77777777" w:rsidR="00725CBA" w:rsidRDefault="00D024D0">
    <w:pPr>
      <w:pStyle w:val="Footer"/>
      <w:tabs>
        <w:tab w:val="clear" w:pos="4320"/>
        <w:tab w:val="clear" w:pos="8640"/>
        <w:tab w:val="left" w:pos="666"/>
      </w:tabs>
      <w:jc w:val="center"/>
    </w:pPr>
    <w:r>
      <w:rPr>
        <w:rFonts w:ascii="Calibri" w:hAnsi="Calibri" w:cs="Calibri"/>
        <w:color w:val="595959"/>
        <w:sz w:val="16"/>
        <w:szCs w:val="16"/>
      </w:rPr>
      <w:t xml:space="preserve">Page </w:t>
    </w:r>
    <w:r>
      <w:rPr>
        <w:rFonts w:ascii="Calibri" w:hAnsi="Calibri" w:cs="Calibri"/>
        <w:b/>
        <w:sz w:val="16"/>
        <w:szCs w:val="16"/>
      </w:rPr>
      <w:fldChar w:fldCharType="begin"/>
    </w:r>
    <w:r>
      <w:rPr>
        <w:rFonts w:ascii="Calibri" w:hAnsi="Calibri" w:cs="Calibri"/>
        <w:b/>
        <w:sz w:val="16"/>
        <w:szCs w:val="16"/>
      </w:rPr>
      <w:instrText>PAGE</w:instrText>
    </w:r>
    <w:r>
      <w:rPr>
        <w:rFonts w:ascii="Calibri" w:hAnsi="Calibri" w:cs="Calibri"/>
        <w:b/>
        <w:sz w:val="16"/>
        <w:szCs w:val="16"/>
      </w:rPr>
      <w:fldChar w:fldCharType="separate"/>
    </w:r>
    <w:r>
      <w:rPr>
        <w:rFonts w:ascii="Calibri" w:hAnsi="Calibri" w:cs="Calibri"/>
        <w:b/>
        <w:sz w:val="16"/>
        <w:szCs w:val="16"/>
      </w:rPr>
      <w:t>2</w:t>
    </w:r>
    <w:r>
      <w:rPr>
        <w:rFonts w:ascii="Calibri" w:hAnsi="Calibri" w:cs="Calibri"/>
        <w:b/>
        <w:sz w:val="16"/>
        <w:szCs w:val="16"/>
      </w:rPr>
      <w:fldChar w:fldCharType="end"/>
    </w:r>
    <w:r>
      <w:rPr>
        <w:rFonts w:ascii="Calibri" w:hAnsi="Calibri" w:cs="Calibri"/>
        <w:color w:val="595959"/>
        <w:sz w:val="16"/>
        <w:szCs w:val="16"/>
      </w:rPr>
      <w:t xml:space="preserve"> of </w:t>
    </w:r>
    <w:r>
      <w:rPr>
        <w:rFonts w:ascii="Calibri" w:hAnsi="Calibri" w:cs="Calibri"/>
        <w:b/>
        <w:sz w:val="16"/>
        <w:szCs w:val="16"/>
      </w:rPr>
      <w:fldChar w:fldCharType="begin"/>
    </w:r>
    <w:r>
      <w:rPr>
        <w:rFonts w:ascii="Calibri" w:hAnsi="Calibri" w:cs="Calibri"/>
        <w:b/>
        <w:sz w:val="16"/>
        <w:szCs w:val="16"/>
      </w:rPr>
      <w:instrText>NUMPAGES</w:instrText>
    </w:r>
    <w:r>
      <w:rPr>
        <w:rFonts w:ascii="Calibri" w:hAnsi="Calibri" w:cs="Calibri"/>
        <w:b/>
        <w:sz w:val="16"/>
        <w:szCs w:val="16"/>
      </w:rPr>
      <w:fldChar w:fldCharType="separate"/>
    </w:r>
    <w:r>
      <w:rPr>
        <w:rFonts w:ascii="Calibri" w:hAnsi="Calibri" w:cs="Calibri"/>
        <w:b/>
        <w:sz w:val="16"/>
        <w:szCs w:val="16"/>
      </w:rPr>
      <w:t>2</w:t>
    </w:r>
    <w:r>
      <w:rPr>
        <w:rFonts w:ascii="Calibri" w:hAnsi="Calibri" w:cs="Calibri"/>
        <w:b/>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44" w:type="dxa"/>
      <w:tblInd w:w="-426" w:type="dxa"/>
      <w:tblCellMar>
        <w:top w:w="55" w:type="dxa"/>
        <w:left w:w="55" w:type="dxa"/>
        <w:bottom w:w="55" w:type="dxa"/>
        <w:right w:w="55" w:type="dxa"/>
      </w:tblCellMar>
      <w:tblLook w:val="0000" w:firstRow="0" w:lastRow="0" w:firstColumn="0" w:lastColumn="0" w:noHBand="0" w:noVBand="0"/>
    </w:tblPr>
    <w:tblGrid>
      <w:gridCol w:w="7372"/>
      <w:gridCol w:w="129"/>
      <w:gridCol w:w="6402"/>
      <w:gridCol w:w="2441"/>
    </w:tblGrid>
    <w:tr w:rsidR="00725CBA" w14:paraId="00CBBE11" w14:textId="77777777">
      <w:tc>
        <w:tcPr>
          <w:tcW w:w="7371" w:type="dxa"/>
          <w:tcBorders>
            <w:top w:val="single" w:sz="4" w:space="0" w:color="000000"/>
          </w:tcBorders>
        </w:tcPr>
        <w:p w14:paraId="38C018B6" w14:textId="77777777" w:rsidR="00725CBA" w:rsidRDefault="00D024D0">
          <w:pPr>
            <w:pStyle w:val="Footer"/>
          </w:pPr>
          <w:r>
            <w:t>Adresa: Bd. Tomis nr. 145, CP 900591, Constanta, Tel: 0241 616 784 / Fax: 0241 660 331</w:t>
          </w:r>
        </w:p>
        <w:p w14:paraId="3C80C72C" w14:textId="77777777" w:rsidR="00725CBA" w:rsidRDefault="00D024D0">
          <w:pPr>
            <w:pStyle w:val="Footer"/>
            <w:rPr>
              <w:rFonts w:ascii="Liberation Serif" w:hAnsi="Liberation Serif"/>
              <w:color w:val="595959"/>
              <w:szCs w:val="24"/>
              <w:lang w:val="pt-BR"/>
            </w:rPr>
          </w:pPr>
          <w:r>
            <w:t>E-mail:  secretariat@spitalulconstanta.ro,  Website:  www.spitalulconstanta.ro</w:t>
          </w:r>
          <w:r>
            <w:br/>
          </w:r>
          <w:r>
            <w:rPr>
              <w:rFonts w:ascii="Liberation Serif" w:hAnsi="Liberation Serif"/>
              <w:szCs w:val="24"/>
              <w:lang w:val="pt-BR"/>
            </w:rPr>
            <w:t>SCJU CONSTANȚA este operator date cu caracter personal înregistrat cu nr. 645</w:t>
          </w:r>
        </w:p>
      </w:tc>
      <w:tc>
        <w:tcPr>
          <w:tcW w:w="129" w:type="dxa"/>
          <w:tcBorders>
            <w:top w:val="single" w:sz="4" w:space="0" w:color="000000"/>
          </w:tcBorders>
        </w:tcPr>
        <w:p w14:paraId="3365C0A5" w14:textId="77777777" w:rsidR="00725CBA" w:rsidRDefault="00D024D0">
          <w:pPr>
            <w:pStyle w:val="TableContents"/>
            <w:rPr>
              <w:rFonts w:ascii="Liberation Serif" w:hAnsi="Liberation Serif"/>
              <w:b w:val="0"/>
              <w:color w:val="000000"/>
              <w:sz w:val="24"/>
              <w:szCs w:val="24"/>
            </w:rPr>
          </w:pPr>
          <w:r>
            <w:rPr>
              <w:rFonts w:ascii="Liberation Serif" w:hAnsi="Liberation Serif"/>
              <w:b w:val="0"/>
              <w:color w:val="000000"/>
              <w:sz w:val="24"/>
              <w:szCs w:val="24"/>
            </w:rPr>
            <w:t xml:space="preserve">                 </w:t>
          </w:r>
        </w:p>
      </w:tc>
      <w:tc>
        <w:tcPr>
          <w:tcW w:w="6402" w:type="dxa"/>
          <w:tcBorders>
            <w:top w:val="single" w:sz="4" w:space="0" w:color="000000"/>
          </w:tcBorders>
        </w:tcPr>
        <w:p w14:paraId="619C55BA" w14:textId="77777777" w:rsidR="00725CBA" w:rsidRDefault="00D024D0">
          <w:pPr>
            <w:pStyle w:val="TableContents"/>
            <w:rPr>
              <w:rFonts w:ascii="Calibri" w:hAnsi="Calibri" w:cs="Calibri"/>
              <w:color w:val="595959"/>
              <w:sz w:val="16"/>
              <w:szCs w:val="16"/>
            </w:rPr>
          </w:pPr>
          <w:r>
            <w:rPr>
              <w:rFonts w:ascii="Calibri" w:hAnsi="Calibri" w:cs="Calibri"/>
              <w:color w:val="595959"/>
              <w:sz w:val="16"/>
              <w:szCs w:val="16"/>
              <w:lang w:val="en-GB" w:eastAsia="en-GB"/>
            </w:rPr>
            <w:t xml:space="preserve">         </w:t>
          </w:r>
          <w:r>
            <w:rPr>
              <w:noProof/>
            </w:rPr>
            <w:drawing>
              <wp:inline distT="0" distB="0" distL="0" distR="0" wp14:anchorId="436BBD69" wp14:editId="174E420F">
                <wp:extent cx="1858010" cy="616585"/>
                <wp:effectExtent l="0" t="0" r="0" b="0"/>
                <wp:docPr id="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0"/>
                        <pic:cNvPicPr>
                          <a:picLocks noChangeAspect="1" noChangeArrowheads="1"/>
                        </pic:cNvPicPr>
                      </pic:nvPicPr>
                      <pic:blipFill>
                        <a:blip r:embed="rId1"/>
                        <a:stretch>
                          <a:fillRect/>
                        </a:stretch>
                      </pic:blipFill>
                      <pic:spPr bwMode="auto">
                        <a:xfrm>
                          <a:off x="0" y="0"/>
                          <a:ext cx="1858010" cy="616585"/>
                        </a:xfrm>
                        <a:prstGeom prst="rect">
                          <a:avLst/>
                        </a:prstGeom>
                      </pic:spPr>
                    </pic:pic>
                  </a:graphicData>
                </a:graphic>
              </wp:inline>
            </w:drawing>
          </w:r>
        </w:p>
      </w:tc>
      <w:tc>
        <w:tcPr>
          <w:tcW w:w="2441" w:type="dxa"/>
          <w:tcBorders>
            <w:top w:val="single" w:sz="4" w:space="0" w:color="000000"/>
          </w:tcBorders>
        </w:tcPr>
        <w:p w14:paraId="4591ADF7" w14:textId="77777777" w:rsidR="00725CBA" w:rsidRDefault="00725CBA">
          <w:pPr>
            <w:pStyle w:val="TableContents"/>
            <w:rPr>
              <w:rFonts w:ascii="Calibri" w:hAnsi="Calibri" w:cs="Calibri"/>
              <w:color w:val="595959"/>
              <w:sz w:val="16"/>
              <w:szCs w:val="16"/>
            </w:rPr>
          </w:pPr>
        </w:p>
      </w:tc>
    </w:tr>
  </w:tbl>
  <w:p w14:paraId="234743C8" w14:textId="77777777" w:rsidR="00725CBA" w:rsidRDefault="00D024D0">
    <w:pPr>
      <w:pStyle w:val="Footer"/>
      <w:tabs>
        <w:tab w:val="clear" w:pos="4320"/>
        <w:tab w:val="clear" w:pos="8640"/>
        <w:tab w:val="left" w:pos="666"/>
      </w:tabs>
      <w:jc w:val="center"/>
    </w:pPr>
    <w:r>
      <w:rPr>
        <w:rFonts w:ascii="Calibri" w:hAnsi="Calibri" w:cs="Calibri"/>
        <w:color w:val="595959"/>
        <w:sz w:val="16"/>
        <w:szCs w:val="16"/>
      </w:rPr>
      <w:t xml:space="preserve">Page </w:t>
    </w:r>
    <w:r>
      <w:rPr>
        <w:rFonts w:ascii="Calibri" w:hAnsi="Calibri" w:cs="Calibri"/>
        <w:b/>
        <w:sz w:val="16"/>
        <w:szCs w:val="16"/>
      </w:rPr>
      <w:fldChar w:fldCharType="begin"/>
    </w:r>
    <w:r>
      <w:rPr>
        <w:rFonts w:ascii="Calibri" w:hAnsi="Calibri" w:cs="Calibri"/>
        <w:b/>
        <w:sz w:val="16"/>
        <w:szCs w:val="16"/>
      </w:rPr>
      <w:instrText>PAGE</w:instrText>
    </w:r>
    <w:r>
      <w:rPr>
        <w:rFonts w:ascii="Calibri" w:hAnsi="Calibri" w:cs="Calibri"/>
        <w:b/>
        <w:sz w:val="16"/>
        <w:szCs w:val="16"/>
      </w:rPr>
      <w:fldChar w:fldCharType="separate"/>
    </w:r>
    <w:r>
      <w:rPr>
        <w:rFonts w:ascii="Calibri" w:hAnsi="Calibri" w:cs="Calibri"/>
        <w:b/>
        <w:sz w:val="16"/>
        <w:szCs w:val="16"/>
      </w:rPr>
      <w:t>1</w:t>
    </w:r>
    <w:r>
      <w:rPr>
        <w:rFonts w:ascii="Calibri" w:hAnsi="Calibri" w:cs="Calibri"/>
        <w:b/>
        <w:sz w:val="16"/>
        <w:szCs w:val="16"/>
      </w:rPr>
      <w:fldChar w:fldCharType="end"/>
    </w:r>
    <w:r>
      <w:rPr>
        <w:rFonts w:ascii="Calibri" w:hAnsi="Calibri" w:cs="Calibri"/>
        <w:color w:val="595959"/>
        <w:sz w:val="16"/>
        <w:szCs w:val="16"/>
      </w:rPr>
      <w:t xml:space="preserve"> of </w:t>
    </w:r>
    <w:r>
      <w:rPr>
        <w:rFonts w:ascii="Calibri" w:hAnsi="Calibri" w:cs="Calibri"/>
        <w:b/>
        <w:sz w:val="16"/>
        <w:szCs w:val="16"/>
      </w:rPr>
      <w:fldChar w:fldCharType="begin"/>
    </w:r>
    <w:r>
      <w:rPr>
        <w:rFonts w:ascii="Calibri" w:hAnsi="Calibri" w:cs="Calibri"/>
        <w:b/>
        <w:sz w:val="16"/>
        <w:szCs w:val="16"/>
      </w:rPr>
      <w:instrText>NUMPAGES</w:instrText>
    </w:r>
    <w:r>
      <w:rPr>
        <w:rFonts w:ascii="Calibri" w:hAnsi="Calibri" w:cs="Calibri"/>
        <w:b/>
        <w:sz w:val="16"/>
        <w:szCs w:val="16"/>
      </w:rPr>
      <w:fldChar w:fldCharType="separate"/>
    </w:r>
    <w:r>
      <w:rPr>
        <w:rFonts w:ascii="Calibri" w:hAnsi="Calibri" w:cs="Calibri"/>
        <w:b/>
        <w:sz w:val="16"/>
        <w:szCs w:val="16"/>
      </w:rPr>
      <w:t>2</w:t>
    </w:r>
    <w:r>
      <w:rPr>
        <w:rFonts w:ascii="Calibri" w:hAnsi="Calibri" w:cs="Calibri"/>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E9F2A" w14:textId="77777777" w:rsidR="00750812" w:rsidRDefault="00750812">
      <w:r>
        <w:separator/>
      </w:r>
    </w:p>
  </w:footnote>
  <w:footnote w:type="continuationSeparator" w:id="0">
    <w:p w14:paraId="141735FC" w14:textId="77777777" w:rsidR="00750812" w:rsidRDefault="007508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32B2D" w14:textId="77777777" w:rsidR="00725CBA" w:rsidRDefault="00D024D0">
    <w:pPr>
      <w:pStyle w:val="Header"/>
      <w:tabs>
        <w:tab w:val="clear" w:pos="4320"/>
        <w:tab w:val="clear" w:pos="8640"/>
        <w:tab w:val="left" w:pos="7020"/>
      </w:tabs>
    </w:pPr>
    <w:r>
      <w:tab/>
    </w: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53F47" w14:textId="77777777" w:rsidR="00725CBA" w:rsidRDefault="00D024D0">
    <w:pPr>
      <w:pStyle w:val="Header"/>
    </w:pPr>
    <w:r>
      <w:rPr>
        <w:noProof/>
      </w:rPr>
      <w:drawing>
        <wp:inline distT="0" distB="0" distL="0" distR="0" wp14:anchorId="20E676F2" wp14:editId="446DE0D1">
          <wp:extent cx="6078855" cy="837565"/>
          <wp:effectExtent l="0" t="0" r="0" b="0"/>
          <wp:docPr id="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9"/>
                  <pic:cNvPicPr>
                    <a:picLocks noChangeAspect="1" noChangeArrowheads="1"/>
                  </pic:cNvPicPr>
                </pic:nvPicPr>
                <pic:blipFill>
                  <a:blip r:embed="rId1"/>
                  <a:stretch>
                    <a:fillRect/>
                  </a:stretch>
                </pic:blipFill>
                <pic:spPr bwMode="auto">
                  <a:xfrm>
                    <a:off x="0" y="0"/>
                    <a:ext cx="6078855" cy="837565"/>
                  </a:xfrm>
                  <a:prstGeom prst="rect">
                    <a:avLst/>
                  </a:prstGeom>
                </pic:spPr>
              </pic:pic>
            </a:graphicData>
          </a:graphic>
        </wp:inline>
      </w:drawing>
    </w:r>
    <w:r>
      <w:rPr>
        <w:noProof/>
      </w:rPr>
      <mc:AlternateContent>
        <mc:Choice Requires="wps">
          <w:drawing>
            <wp:inline distT="0" distB="0" distL="0" distR="0" wp14:anchorId="46568B47" wp14:editId="012A00C2">
              <wp:extent cx="6118860" cy="22225"/>
              <wp:effectExtent l="0" t="0" r="0" b="0"/>
              <wp:docPr id="2" name="Rectangle 2"/>
              <wp:cNvGraphicFramePr/>
              <a:graphic xmlns:a="http://schemas.openxmlformats.org/drawingml/2006/main">
                <a:graphicData uri="http://schemas.microsoft.com/office/word/2010/wordprocessingShape">
                  <wps:wsp>
                    <wps:cNvSpPr/>
                    <wps:spPr>
                      <a:xfrm>
                        <a:off x="0" y="0"/>
                        <a:ext cx="6118200" cy="21600"/>
                      </a:xfrm>
                      <a:prstGeom prst="rect">
                        <a:avLst/>
                      </a:prstGeom>
                      <a:solidFill>
                        <a:srgbClr val="5B9BD5"/>
                      </a:solidFill>
                      <a:ln>
                        <a:noFill/>
                      </a:ln>
                    </wps:spPr>
                    <wps:style>
                      <a:lnRef idx="0">
                        <a:scrgbClr r="0" g="0" b="0"/>
                      </a:lnRef>
                      <a:fillRef idx="0">
                        <a:scrgbClr r="0" g="0" b="0"/>
                      </a:fillRef>
                      <a:effectRef idx="0">
                        <a:scrgbClr r="0" g="0" b="0"/>
                      </a:effectRef>
                      <a:fontRef idx="minor"/>
                    </wps:style>
                    <wps:bodyPr/>
                  </wps:wsp>
                </a:graphicData>
              </a:graphic>
            </wp:inline>
          </w:drawing>
        </mc:Choice>
        <mc:Fallback>
          <w:pict>
            <v:rect id="shape_0" fillcolor="#5b9bd5" stroked="f" style="position:absolute;margin-left:0pt;margin-top:-1.75pt;width:481.7pt;height:1.65pt;mso-position-vertical:top">
              <w10:wrap type="none"/>
              <v:fill o:detectmouseclick="t" type="solid" color2="#a4642a"/>
              <v:stroke color="#3465a4" joinstyle="round" endcap="flat"/>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64772"/>
    <w:multiLevelType w:val="hybridMultilevel"/>
    <w:tmpl w:val="2982B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3162A4"/>
    <w:multiLevelType w:val="multilevel"/>
    <w:tmpl w:val="F44487E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26387B4E"/>
    <w:multiLevelType w:val="multilevel"/>
    <w:tmpl w:val="7B086264"/>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080"/>
        </w:tabs>
        <w:ind w:left="1080" w:hanging="360"/>
      </w:pPr>
      <w:rPr>
        <w:sz w:val="24"/>
        <w:szCs w:val="24"/>
      </w:rPr>
    </w:lvl>
    <w:lvl w:ilvl="2">
      <w:start w:val="1"/>
      <w:numFmt w:val="decimal"/>
      <w:lvlText w:val="%3)"/>
      <w:lvlJc w:val="left"/>
      <w:pPr>
        <w:tabs>
          <w:tab w:val="num" w:pos="1440"/>
        </w:tabs>
        <w:ind w:left="1440" w:hanging="360"/>
      </w:pPr>
      <w:rPr>
        <w:sz w:val="24"/>
        <w:szCs w:val="24"/>
      </w:rPr>
    </w:lvl>
    <w:lvl w:ilvl="3">
      <w:start w:val="1"/>
      <w:numFmt w:val="decimal"/>
      <w:lvlText w:val="%4)"/>
      <w:lvlJc w:val="left"/>
      <w:pPr>
        <w:tabs>
          <w:tab w:val="num" w:pos="1800"/>
        </w:tabs>
        <w:ind w:left="1800" w:hanging="360"/>
      </w:pPr>
      <w:rPr>
        <w:sz w:val="24"/>
        <w:szCs w:val="24"/>
      </w:rPr>
    </w:lvl>
    <w:lvl w:ilvl="4">
      <w:start w:val="1"/>
      <w:numFmt w:val="decimal"/>
      <w:lvlText w:val="%5)"/>
      <w:lvlJc w:val="left"/>
      <w:pPr>
        <w:tabs>
          <w:tab w:val="num" w:pos="2160"/>
        </w:tabs>
        <w:ind w:left="2160" w:hanging="360"/>
      </w:pPr>
      <w:rPr>
        <w:sz w:val="24"/>
        <w:szCs w:val="24"/>
      </w:rPr>
    </w:lvl>
    <w:lvl w:ilvl="5">
      <w:start w:val="1"/>
      <w:numFmt w:val="decimal"/>
      <w:lvlText w:val="%6)"/>
      <w:lvlJc w:val="left"/>
      <w:pPr>
        <w:tabs>
          <w:tab w:val="num" w:pos="2520"/>
        </w:tabs>
        <w:ind w:left="2520" w:hanging="360"/>
      </w:pPr>
      <w:rPr>
        <w:sz w:val="24"/>
        <w:szCs w:val="24"/>
      </w:rPr>
    </w:lvl>
    <w:lvl w:ilvl="6">
      <w:start w:val="1"/>
      <w:numFmt w:val="decimal"/>
      <w:lvlText w:val="%7)"/>
      <w:lvlJc w:val="left"/>
      <w:pPr>
        <w:tabs>
          <w:tab w:val="num" w:pos="2880"/>
        </w:tabs>
        <w:ind w:left="2880" w:hanging="360"/>
      </w:pPr>
      <w:rPr>
        <w:sz w:val="24"/>
        <w:szCs w:val="24"/>
      </w:rPr>
    </w:lvl>
    <w:lvl w:ilvl="7">
      <w:start w:val="1"/>
      <w:numFmt w:val="decimal"/>
      <w:lvlText w:val="%8)"/>
      <w:lvlJc w:val="left"/>
      <w:pPr>
        <w:tabs>
          <w:tab w:val="num" w:pos="3240"/>
        </w:tabs>
        <w:ind w:left="3240" w:hanging="360"/>
      </w:pPr>
      <w:rPr>
        <w:sz w:val="24"/>
        <w:szCs w:val="24"/>
      </w:rPr>
    </w:lvl>
    <w:lvl w:ilvl="8">
      <w:start w:val="1"/>
      <w:numFmt w:val="decimal"/>
      <w:lvlText w:val="%9)"/>
      <w:lvlJc w:val="left"/>
      <w:pPr>
        <w:tabs>
          <w:tab w:val="num" w:pos="3600"/>
        </w:tabs>
        <w:ind w:left="3600" w:hanging="360"/>
      </w:pPr>
      <w:rPr>
        <w:sz w:val="24"/>
        <w:szCs w:val="24"/>
      </w:rPr>
    </w:lvl>
  </w:abstractNum>
  <w:abstractNum w:abstractNumId="3" w15:restartNumberingAfterBreak="0">
    <w:nsid w:val="2AEC4A37"/>
    <w:multiLevelType w:val="multilevel"/>
    <w:tmpl w:val="C37863F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4" w15:restartNumberingAfterBreak="0">
    <w:nsid w:val="477A5029"/>
    <w:multiLevelType w:val="hybridMultilevel"/>
    <w:tmpl w:val="FE7C7B46"/>
    <w:lvl w:ilvl="0" w:tplc="63F4F224">
      <w:numFmt w:val="bullet"/>
      <w:lvlText w:val="-"/>
      <w:lvlJc w:val="left"/>
      <w:pPr>
        <w:ind w:left="1069" w:hanging="360"/>
      </w:pPr>
      <w:rPr>
        <w:rFonts w:ascii="Times New Roman" w:eastAsia="Times New Roman" w:hAnsi="Times New Roman" w:cs="Times New Roman"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5" w15:restartNumberingAfterBreak="0">
    <w:nsid w:val="549408E2"/>
    <w:multiLevelType w:val="multilevel"/>
    <w:tmpl w:val="DEBA2C52"/>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Symbol" w:hAnsi="Symbol" w:cs="OpenSymbol" w:hint="default"/>
      </w:rPr>
    </w:lvl>
    <w:lvl w:ilvl="2">
      <w:start w:val="1"/>
      <w:numFmt w:val="bullet"/>
      <w:lvlText w:val=""/>
      <w:lvlJc w:val="left"/>
      <w:pPr>
        <w:tabs>
          <w:tab w:val="num" w:pos="1440"/>
        </w:tabs>
        <w:ind w:left="1440" w:hanging="360"/>
      </w:pPr>
      <w:rPr>
        <w:rFonts w:ascii="Symbol" w:hAnsi="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abstractNum w:abstractNumId="6" w15:restartNumberingAfterBreak="0">
    <w:nsid w:val="6A5A4E0B"/>
    <w:multiLevelType w:val="multilevel"/>
    <w:tmpl w:val="85F2FBD2"/>
    <w:lvl w:ilvl="0">
      <w:start w:val="1"/>
      <w:numFmt w:val="bullet"/>
      <w:lvlText w:val=""/>
      <w:lvlJc w:val="left"/>
      <w:pPr>
        <w:tabs>
          <w:tab w:val="num" w:pos="1080"/>
        </w:tabs>
        <w:ind w:left="1080" w:hanging="360"/>
      </w:pPr>
      <w:rPr>
        <w:rFonts w:ascii="Wingdings" w:hAnsi="Wingdings" w:cs="OpenSymbol" w:hint="default"/>
      </w:rPr>
    </w:lvl>
    <w:lvl w:ilvl="1">
      <w:start w:val="1"/>
      <w:numFmt w:val="bullet"/>
      <w:lvlText w:val=""/>
      <w:lvlJc w:val="left"/>
      <w:pPr>
        <w:tabs>
          <w:tab w:val="num" w:pos="1440"/>
        </w:tabs>
        <w:ind w:left="1440" w:hanging="360"/>
      </w:pPr>
      <w:rPr>
        <w:rFonts w:ascii="Wingdings" w:hAnsi="Wingdings" w:cs="OpenSymbol" w:hint="default"/>
      </w:rPr>
    </w:lvl>
    <w:lvl w:ilvl="2">
      <w:start w:val="1"/>
      <w:numFmt w:val="bullet"/>
      <w:lvlText w:val=""/>
      <w:lvlJc w:val="left"/>
      <w:pPr>
        <w:tabs>
          <w:tab w:val="num" w:pos="1800"/>
        </w:tabs>
        <w:ind w:left="1800" w:hanging="360"/>
      </w:pPr>
      <w:rPr>
        <w:rFonts w:ascii="Wingdings" w:hAnsi="Wingdings" w:cs="OpenSymbol" w:hint="default"/>
      </w:rPr>
    </w:lvl>
    <w:lvl w:ilvl="3">
      <w:start w:val="1"/>
      <w:numFmt w:val="bullet"/>
      <w:lvlText w:val=""/>
      <w:lvlJc w:val="left"/>
      <w:pPr>
        <w:tabs>
          <w:tab w:val="num" w:pos="2160"/>
        </w:tabs>
        <w:ind w:left="2160" w:hanging="360"/>
      </w:pPr>
      <w:rPr>
        <w:rFonts w:ascii="Wingdings" w:hAnsi="Wingdings" w:cs="OpenSymbol" w:hint="default"/>
      </w:rPr>
    </w:lvl>
    <w:lvl w:ilvl="4">
      <w:start w:val="1"/>
      <w:numFmt w:val="bullet"/>
      <w:lvlText w:val=""/>
      <w:lvlJc w:val="left"/>
      <w:pPr>
        <w:tabs>
          <w:tab w:val="num" w:pos="2520"/>
        </w:tabs>
        <w:ind w:left="2520" w:hanging="360"/>
      </w:pPr>
      <w:rPr>
        <w:rFonts w:ascii="Wingdings" w:hAnsi="Wingdings" w:cs="OpenSymbol" w:hint="default"/>
      </w:rPr>
    </w:lvl>
    <w:lvl w:ilvl="5">
      <w:start w:val="1"/>
      <w:numFmt w:val="bullet"/>
      <w:lvlText w:val=""/>
      <w:lvlJc w:val="left"/>
      <w:pPr>
        <w:tabs>
          <w:tab w:val="num" w:pos="2880"/>
        </w:tabs>
        <w:ind w:left="2880" w:hanging="360"/>
      </w:pPr>
      <w:rPr>
        <w:rFonts w:ascii="Wingdings" w:hAnsi="Wingdings" w:cs="OpenSymbol" w:hint="default"/>
      </w:rPr>
    </w:lvl>
    <w:lvl w:ilvl="6">
      <w:start w:val="1"/>
      <w:numFmt w:val="bullet"/>
      <w:lvlText w:val=""/>
      <w:lvlJc w:val="left"/>
      <w:pPr>
        <w:tabs>
          <w:tab w:val="num" w:pos="3240"/>
        </w:tabs>
        <w:ind w:left="3240" w:hanging="360"/>
      </w:pPr>
      <w:rPr>
        <w:rFonts w:ascii="Wingdings" w:hAnsi="Wingdings" w:cs="OpenSymbol" w:hint="default"/>
      </w:rPr>
    </w:lvl>
    <w:lvl w:ilvl="7">
      <w:start w:val="1"/>
      <w:numFmt w:val="bullet"/>
      <w:lvlText w:val=""/>
      <w:lvlJc w:val="left"/>
      <w:pPr>
        <w:tabs>
          <w:tab w:val="num" w:pos="3600"/>
        </w:tabs>
        <w:ind w:left="3600" w:hanging="360"/>
      </w:pPr>
      <w:rPr>
        <w:rFonts w:ascii="Wingdings" w:hAnsi="Wingdings" w:cs="OpenSymbol" w:hint="default"/>
      </w:rPr>
    </w:lvl>
    <w:lvl w:ilvl="8">
      <w:start w:val="1"/>
      <w:numFmt w:val="bullet"/>
      <w:lvlText w:val=""/>
      <w:lvlJc w:val="left"/>
      <w:pPr>
        <w:tabs>
          <w:tab w:val="num" w:pos="3960"/>
        </w:tabs>
        <w:ind w:left="3960" w:hanging="360"/>
      </w:pPr>
      <w:rPr>
        <w:rFonts w:ascii="Wingdings" w:hAnsi="Wingdings" w:cs="OpenSymbol" w:hint="default"/>
      </w:rPr>
    </w:lvl>
  </w:abstractNum>
  <w:num w:numId="1" w16cid:durableId="627972107">
    <w:abstractNumId w:val="1"/>
  </w:num>
  <w:num w:numId="2" w16cid:durableId="1679119836">
    <w:abstractNumId w:val="5"/>
  </w:num>
  <w:num w:numId="3" w16cid:durableId="1465738806">
    <w:abstractNumId w:val="6"/>
  </w:num>
  <w:num w:numId="4" w16cid:durableId="917446820">
    <w:abstractNumId w:val="2"/>
  </w:num>
  <w:num w:numId="5" w16cid:durableId="192423079">
    <w:abstractNumId w:val="3"/>
  </w:num>
  <w:num w:numId="6" w16cid:durableId="1011103567">
    <w:abstractNumId w:val="0"/>
  </w:num>
  <w:num w:numId="7" w16cid:durableId="788692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4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5CBA"/>
    <w:rsid w:val="0001371A"/>
    <w:rsid w:val="000E78D2"/>
    <w:rsid w:val="00144A63"/>
    <w:rsid w:val="001532CF"/>
    <w:rsid w:val="00163B0C"/>
    <w:rsid w:val="001C01AD"/>
    <w:rsid w:val="002311C5"/>
    <w:rsid w:val="002D444C"/>
    <w:rsid w:val="002F7F19"/>
    <w:rsid w:val="003628C9"/>
    <w:rsid w:val="00507A72"/>
    <w:rsid w:val="00527890"/>
    <w:rsid w:val="005967E2"/>
    <w:rsid w:val="0062220C"/>
    <w:rsid w:val="00661D8C"/>
    <w:rsid w:val="0071530D"/>
    <w:rsid w:val="00725CBA"/>
    <w:rsid w:val="007437BD"/>
    <w:rsid w:val="00750812"/>
    <w:rsid w:val="00790FFB"/>
    <w:rsid w:val="007E22D9"/>
    <w:rsid w:val="008B04E8"/>
    <w:rsid w:val="008C3399"/>
    <w:rsid w:val="009262FF"/>
    <w:rsid w:val="009306DB"/>
    <w:rsid w:val="00940BFE"/>
    <w:rsid w:val="00BB09FA"/>
    <w:rsid w:val="00BF632E"/>
    <w:rsid w:val="00C14591"/>
    <w:rsid w:val="00C52CA0"/>
    <w:rsid w:val="00C90140"/>
    <w:rsid w:val="00CC4B13"/>
    <w:rsid w:val="00CE5F33"/>
    <w:rsid w:val="00D024D0"/>
    <w:rsid w:val="00D829F2"/>
    <w:rsid w:val="00D97090"/>
    <w:rsid w:val="00E25F13"/>
    <w:rsid w:val="00E3034C"/>
    <w:rsid w:val="00E62119"/>
    <w:rsid w:val="00E70B26"/>
    <w:rsid w:val="00E94517"/>
    <w:rsid w:val="00ED3457"/>
    <w:rsid w:val="00F1227A"/>
    <w:rsid w:val="00F61ED9"/>
    <w:rsid w:val="00F920D9"/>
    <w:rsid w:val="00F94CFD"/>
    <w:rsid w:val="00FB6084"/>
    <w:rsid w:val="00FD2431"/>
    <w:rsid w:val="00FF75F0"/>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6CE76"/>
  <w15:docId w15:val="{7B2076D6-DD3C-49DA-9AB1-4B52D7A96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NSimSun" w:hAnsi="Times New Roman" w:cs="Arial"/>
        <w:kern w:val="2"/>
        <w:szCs w:val="24"/>
        <w:lang w:val="en-US" w:eastAsia="zh-CN" w:bidi="hi-IN"/>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50A3"/>
    <w:rPr>
      <w:rFonts w:eastAsia="Times New Roman" w:cs="Times New Roman"/>
      <w:kern w:val="0"/>
      <w:szCs w:val="20"/>
      <w:lang w:eastAsia="ro-RO" w:bidi="ar-SA"/>
    </w:rPr>
  </w:style>
  <w:style w:type="paragraph" w:styleId="Heading1">
    <w:name w:val="heading 1"/>
    <w:basedOn w:val="Normal"/>
    <w:next w:val="Normal"/>
    <w:qFormat/>
    <w:rsid w:val="001125C4"/>
    <w:pPr>
      <w:keepNext/>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74"/>
        <w:tab w:val="left" w:pos="10080"/>
        <w:tab w:val="left" w:pos="10800"/>
      </w:tabs>
      <w:jc w:val="center"/>
      <w:outlineLvl w:val="0"/>
    </w:pPr>
    <w:rPr>
      <w:b/>
      <w:sz w:val="32"/>
      <w:lang w:val="en-GB" w:eastAsia="en-US"/>
    </w:rPr>
  </w:style>
  <w:style w:type="paragraph" w:styleId="Heading3">
    <w:name w:val="heading 3"/>
    <w:basedOn w:val="Normal"/>
    <w:next w:val="Normal"/>
    <w:qFormat/>
    <w:rsid w:val="001125C4"/>
    <w:pPr>
      <w:keepNext/>
      <w:outlineLvl w:val="2"/>
    </w:pPr>
    <w:rPr>
      <w:sz w:val="24"/>
      <w:lang w:val="en-GB" w:eastAsia="en-US"/>
    </w:rPr>
  </w:style>
  <w:style w:type="paragraph" w:styleId="Heading4">
    <w:name w:val="heading 4"/>
    <w:basedOn w:val="Normal"/>
    <w:next w:val="Normal"/>
    <w:qFormat/>
    <w:rsid w:val="001125C4"/>
    <w:pPr>
      <w:keepNext/>
      <w:outlineLvl w:val="3"/>
    </w:pPr>
    <w:rPr>
      <w:b/>
      <w:sz w:val="24"/>
      <w:lang w:val="en-GB"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rsid w:val="002A64DE"/>
  </w:style>
  <w:style w:type="character" w:styleId="Strong">
    <w:name w:val="Strong"/>
    <w:qFormat/>
    <w:rsid w:val="00477621"/>
    <w:rPr>
      <w:b/>
      <w:bCs/>
    </w:rPr>
  </w:style>
  <w:style w:type="character" w:styleId="Hyperlink">
    <w:name w:val="Hyperlink"/>
    <w:rsid w:val="00E337D6"/>
    <w:rPr>
      <w:color w:val="0000FF"/>
      <w:u w:val="single"/>
    </w:rPr>
  </w:style>
  <w:style w:type="character" w:styleId="CommentReference">
    <w:name w:val="annotation reference"/>
    <w:qFormat/>
    <w:rsid w:val="00D35C65"/>
    <w:rPr>
      <w:sz w:val="16"/>
      <w:szCs w:val="16"/>
    </w:rPr>
  </w:style>
  <w:style w:type="character" w:customStyle="1" w:styleId="CommentTextChar">
    <w:name w:val="Comment Text Char"/>
    <w:link w:val="CommentText"/>
    <w:qFormat/>
    <w:rsid w:val="00D35C65"/>
    <w:rPr>
      <w:lang w:val="en-US" w:eastAsia="ro-RO"/>
    </w:rPr>
  </w:style>
  <w:style w:type="character" w:customStyle="1" w:styleId="FooterChar">
    <w:name w:val="Footer Char"/>
    <w:link w:val="Footer"/>
    <w:uiPriority w:val="99"/>
    <w:qFormat/>
    <w:rsid w:val="00CE3B6D"/>
    <w:rPr>
      <w:lang w:val="en-US"/>
    </w:rPr>
  </w:style>
  <w:style w:type="character" w:customStyle="1" w:styleId="Bullets">
    <w:name w:val="Bullets"/>
    <w:qFormat/>
    <w:rPr>
      <w:rFonts w:ascii="OpenSymbol" w:eastAsia="OpenSymbol" w:hAnsi="OpenSymbol" w:cs="OpenSymbol"/>
    </w:rPr>
  </w:style>
  <w:style w:type="character" w:customStyle="1" w:styleId="NumberingSymbols">
    <w:name w:val="Numbering Symbols"/>
    <w:qFormat/>
    <w:rPr>
      <w:sz w:val="24"/>
      <w:szCs w:val="24"/>
    </w:rPr>
  </w:style>
  <w:style w:type="paragraph" w:customStyle="1" w:styleId="Heading">
    <w:name w:val="Heading"/>
    <w:basedOn w:val="Normal"/>
    <w:next w:val="BodyText"/>
    <w:qFormat/>
    <w:pPr>
      <w:keepNext/>
      <w:spacing w:before="240" w:after="120"/>
    </w:pPr>
    <w:rPr>
      <w:rFonts w:ascii="Arial" w:eastAsia="Microsoft YaHei" w:hAnsi="Arial" w:cs="Arial"/>
      <w:sz w:val="28"/>
      <w:szCs w:val="28"/>
    </w:rPr>
  </w:style>
  <w:style w:type="paragraph" w:styleId="BodyText">
    <w:name w:val="Body Text"/>
    <w:basedOn w:val="Normal"/>
    <w:rsid w:val="001125C4"/>
    <w:pPr>
      <w:jc w:val="center"/>
    </w:pPr>
    <w:rPr>
      <w:rFonts w:ascii="Arial" w:hAnsi="Arial"/>
      <w:sz w:val="24"/>
      <w:lang w:val="en-GB" w:eastAsia="en-US"/>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customStyle="1" w:styleId="HeaderandFooter">
    <w:name w:val="Header and Footer"/>
    <w:basedOn w:val="Normal"/>
    <w:qFormat/>
  </w:style>
  <w:style w:type="paragraph" w:styleId="Header">
    <w:name w:val="header"/>
    <w:basedOn w:val="Normal"/>
    <w:rsid w:val="005050A3"/>
    <w:pPr>
      <w:tabs>
        <w:tab w:val="center" w:pos="4320"/>
        <w:tab w:val="right" w:pos="8640"/>
      </w:tabs>
    </w:pPr>
  </w:style>
  <w:style w:type="paragraph" w:styleId="Footer">
    <w:name w:val="footer"/>
    <w:basedOn w:val="Normal"/>
    <w:link w:val="FooterChar"/>
    <w:rsid w:val="005050A3"/>
    <w:pPr>
      <w:tabs>
        <w:tab w:val="center" w:pos="4320"/>
        <w:tab w:val="right" w:pos="8640"/>
      </w:tabs>
    </w:pPr>
  </w:style>
  <w:style w:type="paragraph" w:styleId="BalloonText">
    <w:name w:val="Balloon Text"/>
    <w:basedOn w:val="Normal"/>
    <w:semiHidden/>
    <w:qFormat/>
    <w:rsid w:val="005050A3"/>
    <w:rPr>
      <w:rFonts w:ascii="Tahoma" w:hAnsi="Tahoma" w:cs="Tahoma"/>
      <w:sz w:val="16"/>
      <w:szCs w:val="16"/>
    </w:rPr>
  </w:style>
  <w:style w:type="paragraph" w:styleId="NormalWeb">
    <w:name w:val="Normal (Web)"/>
    <w:basedOn w:val="Normal"/>
    <w:qFormat/>
    <w:rsid w:val="00477621"/>
    <w:pPr>
      <w:spacing w:beforeAutospacing="1" w:afterAutospacing="1"/>
    </w:pPr>
    <w:rPr>
      <w:sz w:val="24"/>
      <w:szCs w:val="24"/>
      <w:lang w:eastAsia="en-US"/>
    </w:rPr>
  </w:style>
  <w:style w:type="paragraph" w:styleId="BodyText3">
    <w:name w:val="Body Text 3"/>
    <w:basedOn w:val="Normal"/>
    <w:qFormat/>
    <w:rsid w:val="001125C4"/>
    <w:rPr>
      <w:b/>
      <w:i/>
      <w:sz w:val="22"/>
      <w:lang w:val="en-GB" w:eastAsia="en-US"/>
    </w:rPr>
  </w:style>
  <w:style w:type="paragraph" w:customStyle="1" w:styleId="BodyText1">
    <w:name w:val="Body Text1"/>
    <w:qFormat/>
    <w:rsid w:val="001125C4"/>
    <w:pPr>
      <w:ind w:firstLine="480"/>
    </w:pPr>
    <w:rPr>
      <w:rFonts w:ascii="Times" w:eastAsia="Times New Roman" w:hAnsi="Times" w:cs="Times New Roman"/>
      <w:color w:val="000000"/>
      <w:kern w:val="0"/>
      <w:sz w:val="24"/>
      <w:szCs w:val="20"/>
      <w:lang w:val="en-AU" w:eastAsia="en-US" w:bidi="ar-SA"/>
    </w:rPr>
  </w:style>
  <w:style w:type="paragraph" w:styleId="PlainText">
    <w:name w:val="Plain Text"/>
    <w:basedOn w:val="Normal"/>
    <w:qFormat/>
    <w:rsid w:val="00D318F2"/>
    <w:rPr>
      <w:rFonts w:ascii="Courier New" w:hAnsi="Courier New" w:cs="Courier New"/>
      <w:lang w:val="en-GB" w:eastAsia="en-GB"/>
    </w:rPr>
  </w:style>
  <w:style w:type="paragraph" w:customStyle="1" w:styleId="Default">
    <w:name w:val="Default"/>
    <w:qFormat/>
    <w:rsid w:val="009E2764"/>
    <w:rPr>
      <w:rFonts w:ascii="Arial" w:eastAsia="Times New Roman" w:hAnsi="Arial"/>
      <w:color w:val="000000"/>
      <w:kern w:val="0"/>
      <w:sz w:val="24"/>
      <w:lang w:val="en-GB" w:eastAsia="en-GB" w:bidi="ar-SA"/>
    </w:rPr>
  </w:style>
  <w:style w:type="paragraph" w:styleId="CommentText">
    <w:name w:val="annotation text"/>
    <w:basedOn w:val="Normal"/>
    <w:link w:val="CommentTextChar"/>
    <w:qFormat/>
    <w:rsid w:val="00D35C65"/>
  </w:style>
  <w:style w:type="paragraph" w:styleId="Revision">
    <w:name w:val="Revision"/>
    <w:uiPriority w:val="99"/>
    <w:semiHidden/>
    <w:qFormat/>
    <w:rsid w:val="004B7FA8"/>
    <w:rPr>
      <w:rFonts w:eastAsia="Times New Roman" w:cs="Times New Roman"/>
      <w:kern w:val="0"/>
      <w:szCs w:val="20"/>
      <w:lang w:eastAsia="ro-RO" w:bidi="ar-SA"/>
    </w:rPr>
  </w:style>
  <w:style w:type="paragraph" w:styleId="Index1">
    <w:name w:val="index 1"/>
    <w:basedOn w:val="Normal"/>
    <w:next w:val="Normal"/>
    <w:autoRedefine/>
    <w:qFormat/>
    <w:rsid w:val="0009339F"/>
    <w:pPr>
      <w:ind w:left="200" w:hanging="200"/>
    </w:pPr>
  </w:style>
  <w:style w:type="paragraph" w:styleId="ListParagraph">
    <w:name w:val="List Paragraph"/>
    <w:basedOn w:val="Normal"/>
    <w:uiPriority w:val="34"/>
    <w:qFormat/>
    <w:rsid w:val="00900D0F"/>
    <w:pPr>
      <w:ind w:left="720"/>
    </w:pPr>
    <w:rPr>
      <w:rFonts w:ascii="Calibri" w:eastAsia="Calibri" w:hAnsi="Calibri"/>
      <w:sz w:val="22"/>
      <w:szCs w:val="22"/>
      <w:lang w:val="en-GB" w:eastAsia="en-GB"/>
    </w:rPr>
  </w:style>
  <w:style w:type="paragraph" w:customStyle="1" w:styleId="TableContents">
    <w:name w:val="Table Contents"/>
    <w:basedOn w:val="Normal"/>
    <w:qFormat/>
    <w:rsid w:val="001845ED"/>
    <w:pPr>
      <w:suppressLineNumbers/>
      <w:spacing w:after="160" w:line="252" w:lineRule="auto"/>
    </w:pPr>
    <w:rPr>
      <w:rFonts w:ascii="Tahoma" w:eastAsia="Calibri" w:hAnsi="Tahoma" w:cs="Tahoma"/>
      <w:b/>
      <w:sz w:val="28"/>
      <w:szCs w:val="28"/>
      <w:lang w:eastAsia="zh-CN"/>
    </w:rPr>
  </w:style>
  <w:style w:type="table" w:styleId="TableGrid">
    <w:name w:val="Table Grid"/>
    <w:basedOn w:val="TableNormal"/>
    <w:rsid w:val="003A67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C52C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DF94F7-2F3D-45AA-BE12-1C868BDE9F53}">
  <ds:schemaRefs>
    <ds:schemaRef ds:uri="http://schemas.openxmlformats.org/officeDocument/2006/bibliography"/>
  </ds:schemaRefs>
</ds:datastoreItem>
</file>

<file path=customXml/itemProps2.xml><?xml version="1.0" encoding="utf-8"?>
<ds:datastoreItem xmlns:ds="http://schemas.openxmlformats.org/officeDocument/2006/customXml" ds:itemID="{B5437665-5339-49E0-88DD-AAFA78375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2</Pages>
  <Words>788</Words>
  <Characters>4494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Pachet servicii</vt:lpstr>
    </vt:vector>
  </TitlesOfParts>
  <Company>TOSHIBA</Company>
  <LinksUpToDate>false</LinksUpToDate>
  <CharactersWithSpaces>5272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Pachet servicii</dc:title>
  <dc:subject/>
  <dc:creator>Andrei</dc:creator>
  <dc:description/>
  <cp:lastModifiedBy>Monica Lazar</cp:lastModifiedBy>
  <cp:revision>33</cp:revision>
  <cp:lastPrinted>2025-12-03T07:37:00Z</cp:lastPrinted>
  <dcterms:created xsi:type="dcterms:W3CDTF">2022-05-12T05:22:00Z</dcterms:created>
  <dcterms:modified xsi:type="dcterms:W3CDTF">2025-12-03T07:50:00Z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TOSHIBA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